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PERCEPÇÃO VISUAL PARA DETECÇÃO DE FAIXAS, PLACAS E SEMÁFOROS EM VEÍCULOS AUTÔNOMOS</w:t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Isabella Vieira Silva Rosseto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per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, Danilo Hernani Perico</w:t>
      </w: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perscript"/>
        </w:rPr>
        <w:t xml:space="preserve">1</w:t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  <w:vertAlign w:val="super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Departamento de Ciência da Computação, Centro Universitário FEI, São Bernardo do Campo, SP, Brasil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unifirosseto@fei.edu.br, dperico@fei.edu.br</w:t>
      </w:r>
    </w:p>
    <w:p>
      <w:pPr>
        <w:spacing w:after="100"/>
        <w:ind w:firstLine="284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Resumo: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Este trabalho investiga técnicas de visão computacional para percepção de veículos autônomos em escala reduzida, com foco na plataforma RoboRacer. A abordagem combina um módulo geométrico clássico (Canny e Transformada de Hough) para segmentação de faixa com um módulo semântico baseado em redes neurais da família YOLO para detecção de placas de trânsito e semáforos, comparando as arquiteturas YOLOv8m, YOLOv10m, YOLOv11m e YOLO26 sobre o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dataset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completo BDD100K, com o esquema de classes expandido e traduzido para português (distinção de semáforo por cor). Os resultados finais indicam que o YOLOv11m obteve o melhor desempenho geral (mAP50 de 0,578 e mAP50-95 de 0,334), enquanto o YOLOv10m manteve a maior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Precision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(0,732), reduzindo falsos positivos relevantes para a segurança da navegação; o YOLO26 não superou o YOLOv11m em nenhuma métrica, apesar de mais parâmetros. Nesta fase, apenas o módulo semântico foi avaliado; a avaliação do módulo de faixa e sua integração ao semântico são a próxima etapa.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760" w:right="980" w:bottom="700" w:left="980" w:header="200" w:footer="200" w:gutter="0"/>
          <w:pgNumType/>
          <w:docGrid w:linePitch="360"/>
        </w:sectPr>
      </w:pPr>
    </w:p>
    <w:p>
      <w:pPr>
        <w:keepNext/>
        <w:spacing w:after="20" w:before="6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1. Introdução</w:t>
      </w:r>
    </w:p>
    <w:p>
      <w:pPr>
        <w:spacing w:after="0" w:line="240"/>
        <w:ind w:firstLine="284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Os acidentes de trânsito representam um problema crônico de saúde pública global: segundo a Organização Mundial da Saúde, cerca de 1,19 milhão de pessoas morrem anualmente em decorrência de acidentes rodoviários, sendo esta a principal causa de morte entre jovens de 5 a 29 anos [1]. No Brasil, dados do Instituto de Pesquisa Econômica Aplicada indicam mais de 30 mil mortes anuais em vias brasileiras, com custos socioeconômicos superiores a R$ 50 bilhões, e apontam que o erro humano responde por mais de 85% das causas primárias dos acidentes [2]. Esse cenário motiva o desenvolvimento de sistemas de percepção embarcados capazes de substituir ou suplementar a tomada de decisão humana.</w:t>
      </w:r>
    </w:p>
    <w:p>
      <w:pPr>
        <w:spacing w:after="0" w:line="240"/>
        <w:ind w:firstLine="284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Entre as modalidades sensoriais disponíveis, a visão computacional por câmeras ocupa papel central, por capturar textura, cor e estrutura semântica que sensores ativos como LiDAR e radar não reproduzem diretamente. Plataformas em escala reduzida, como a RoboRacer e a F1TENTH, oferecem ambiente controlado e de baixo custo para validar algoritmos de percepção antes da aplicação em escala real [3].</w:t>
      </w:r>
    </w:p>
    <w:p>
      <w:pPr>
        <w:spacing w:after="0" w:line="240"/>
        <w:ind w:firstLine="284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 objetivo deste trabalho é implementar, treinar e comparar sistematicamente arquiteturas da família YOLO para detecção de placas de trânsito e semáforos, complementadas por um módulo geométrico clássico de detecção de faixa.</w:t>
      </w:r>
    </w:p>
    <w:p>
      <w:pPr>
        <w:keepNext/>
        <w:spacing w:after="20" w:before="6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2. Metodologia</w:t>
      </w:r>
    </w:p>
    <w:p>
      <w:pPr>
        <w:spacing w:after="0" w:line="240"/>
        <w:ind w:firstLine="284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 sistema de percepção é estruturado em dois módulos complementares, que processam o mesmo quadro em paralelo e enviam suas saídas ao mesmo controlador. O primeiro, geométrico, estima o desvio lateral do veículo em relação ao centro da faixa e fornece um sinal contínuo ao controlador do sistema de direção. Esse módulo está implementado, mas sua avaliação e integração são a próxima etapa, por isso não há resultados dele neste artigo.</w:t>
      </w:r>
    </w:p>
    <w:p>
      <w:pPr>
        <w:spacing w:after="0" w:line="240"/>
        <w:ind w:firstLine="284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 segundo módulo, semântico, realiza a detecção de placas de trânsito e semáforos por meio de redes da família YOLO e fornece ao controlador um comando discreto de parada ao detectar semáforo vermelho acima de um limiar de confiança. Nesta etapa, o esquema de classes foi expandido e traduzido para o português: a classe genérica de semáforo foi desmembrada em quatro estados (vermelho, amarelo, verde e apagado).</w:t>
      </w:r>
    </w:p>
    <w:p>
      <w:pPr>
        <w:spacing w:after="0" w:line="240"/>
        <w:ind w:firstLine="284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Não houve reanotação manual: os valores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red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yellow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green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e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none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(cor não identificável) do atributo nativo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trafficLightColor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do BDD100K [4] foram mapeados para vermelho, amarelo, verde e apagado. Os quatro estados foram incluídos no treinamento final, com o conjunto completo; na fase preliminar, o semáforo era uma classe única. A Tabela I traz as instâncias por classe.</w:t>
      </w:r>
    </w:p>
    <w:p>
      <w:pPr>
        <w:keepNext/>
        <w:spacing w:after="60" w:before="6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Tabela I – Instâncias por classe no BDD100K.</w:t>
      </w:r>
    </w:p>
    <w:tbl>
      <w:tblPr>
        <w:tblW w:type="dxa" w:w="4823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3"/>
        <w:gridCol w:w="804"/>
        <w:gridCol w:w="804"/>
        <w:gridCol w:w="804"/>
        <w:gridCol w:w="804"/>
        <w:gridCol w:w="804"/>
      </w:tblGrid>
      <w:tr>
        <w:trPr>
          <w:cantSplit/>
          <w:trHeight w:val="200" w:hRule="atLeast"/>
        </w:trPr>
        <w:tc>
          <w:tcPr>
            <w:tcW w:type="dxa" w:w="8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Conjunto</w:t>
            </w:r>
          </w:p>
        </w:tc>
        <w:tc>
          <w:tcPr>
            <w:tcW w:type="dxa" w:w="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Placa</w:t>
            </w:r>
          </w:p>
        </w:tc>
        <w:tc>
          <w:tcPr>
            <w:tcW w:type="dxa" w:w="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Vermelho</w:t>
            </w:r>
          </w:p>
        </w:tc>
        <w:tc>
          <w:tcPr>
            <w:tcW w:type="dxa" w:w="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Verde</w:t>
            </w:r>
          </w:p>
        </w:tc>
        <w:tc>
          <w:tcPr>
            <w:tcW w:type="dxa" w:w="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Amarelo</w:t>
            </w:r>
          </w:p>
        </w:tc>
        <w:tc>
          <w:tcPr>
            <w:tcW w:type="dxa" w:w="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Apagado</w:t>
            </w:r>
          </w:p>
        </w:tc>
      </w:tr>
      <w:tr>
        <w:trPr>
          <w:cantSplit/>
          <w:trHeight w:val="200" w:hRule="atLeast"/>
        </w:trPr>
        <w:tc>
          <w:tcPr>
            <w:tcW w:type="dxa" w:w="8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Treino</w:t>
            </w:r>
          </w:p>
        </w:tc>
        <w:tc>
          <w:tcPr>
            <w:tcW w:type="dxa" w:w="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175.724</w:t>
            </w:r>
          </w:p>
        </w:tc>
        <w:tc>
          <w:tcPr>
            <w:tcW w:type="dxa" w:w="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71.482</w:t>
            </w:r>
          </w:p>
        </w:tc>
        <w:tc>
          <w:tcPr>
            <w:tcW w:type="dxa" w:w="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71.631</w:t>
            </w:r>
          </w:p>
        </w:tc>
        <w:tc>
          <w:tcPr>
            <w:tcW w:type="dxa" w:w="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7.844</w:t>
            </w:r>
          </w:p>
        </w:tc>
        <w:tc>
          <w:tcPr>
            <w:tcW w:type="dxa" w:w="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8.043</w:t>
            </w:r>
          </w:p>
        </w:tc>
      </w:tr>
      <w:tr>
        <w:trPr>
          <w:cantSplit/>
          <w:trHeight w:val="200" w:hRule="atLeast"/>
        </w:trPr>
        <w:tc>
          <w:tcPr>
            <w:tcW w:type="dxa" w:w="8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 w:val="false"/>
              <w:spacing w:after="0" w:before="0" w:line="21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Validação</w:t>
            </w:r>
          </w:p>
        </w:tc>
        <w:tc>
          <w:tcPr>
            <w:tcW w:type="dxa" w:w="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 w:val="false"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34.908</w:t>
            </w:r>
          </w:p>
        </w:tc>
        <w:tc>
          <w:tcPr>
            <w:tcW w:type="dxa" w:w="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 w:val="false"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12.123</w:t>
            </w:r>
          </w:p>
        </w:tc>
        <w:tc>
          <w:tcPr>
            <w:tcW w:type="dxa" w:w="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 w:val="false"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11.987</w:t>
            </w:r>
          </w:p>
        </w:tc>
        <w:tc>
          <w:tcPr>
            <w:tcW w:type="dxa" w:w="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 w:val="false"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1.351</w:t>
            </w:r>
          </w:p>
        </w:tc>
        <w:tc>
          <w:tcPr>
            <w:tcW w:type="dxa" w:w="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 w:val="false"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1.424</w:t>
            </w:r>
          </w:p>
        </w:tc>
      </w:tr>
    </w:tbl>
    <w:p>
      <w:pPr>
        <w:spacing w:after="0" w:line="120"/>
      </w:pPr>
    </w:p>
    <w:p>
      <w:pPr>
        <w:spacing w:after="0" w:line="240"/>
        <w:ind w:firstLine="284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Foram selecionadas quatro arquiteturas para comparação: YOLOv8m [6] (linha de base), YOLOv10m [5] (atribuição um-para-um, sem supressão não máxima), YOLOv11m [7] (atenção espacial C2PSA) e YOLO26 [8], o mais recente da Ultralytics, com inferência nativa ponta a ponta e otimizado para dispositivos de borda. Todos os modelos são inicializados com pesos pré-treinados no COCO e ajustados por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transfer learning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sobre o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dataset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BDD100K [4], que reúne imagens de condução real com ampla variabilidade de iluminação e condições climáticas. Utilizou-se a divisão oficial (70.000 imagens de treinamento, 10.000 de validação e 20.000 de teste); como os rótulos de teste não são públicos, os resultados referem-se à validação.</w:t>
      </w:r>
    </w:p>
    <w:p>
      <w:pPr>
        <w:spacing w:after="0" w:line="240"/>
        <w:ind w:firstLine="284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Para garantir que eventuais diferenças de desempenho sejam atribuídas à arquitetura, e não à configuração, todos os modelos são treinados sob o mesmo protocolo: 100 épocas, lotes de 16 imagens, resolução de entrada 640×640, otimizador SGD (momento 0,937, taxa de aprendizado inicial 0,01) e aumento de dados por mosaico, espelhamento horizontal e perturbação HSV. A avaliação é feita pelas métricas mAP50, mAP50-95,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Precision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e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Recall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no conjunto de validação. O treinamento foi executado em estação local com GPU NVIDIA RTX 4060, Intel Core i7 de 13ª geração (série U) e 16 GB de RAM.</w:t>
      </w:r>
    </w:p>
    <w:p>
      <w:pPr>
        <w:keepNext/>
        <w:spacing w:after="20" w:before="6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3. Resultados</w:t>
      </w:r>
    </w:p>
    <w:p>
      <w:pPr>
        <w:spacing w:after="0" w:line="240"/>
        <w:ind w:firstLine="284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Em fase anterior, YOLOv8m e YOLOv10m foram treinados com classes simplificadas e 50% do BDD100K (mAP50 de 0,556 e 0,549). A seguir, os resultados finais (protocolo da Seção 2); todas as tabelas e figuras referem-se ao conjunto de validação.</w:t>
      </w:r>
    </w:p>
    <w:p>
      <w:pPr>
        <w:keepNext/>
        <w:spacing w:after="60" w:before="6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Tabela II – Comparação final entre as arquiteturas.</w:t>
      </w:r>
    </w:p>
    <w:tbl>
      <w:tblPr>
        <w:tblW w:type="dxa" w:w="4823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3"/>
        <w:gridCol w:w="840"/>
        <w:gridCol w:w="840"/>
        <w:gridCol w:w="840"/>
        <w:gridCol w:w="940"/>
      </w:tblGrid>
      <w:tr>
        <w:trPr>
          <w:cantSplit/>
          <w:trHeight w:val="200" w:hRule="atLeast"/>
        </w:trPr>
        <w:tc>
          <w:tcPr>
            <w:tcW w:type="dxa" w:w="13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Métrica</w:t>
            </w:r>
          </w:p>
        </w:tc>
        <w:tc>
          <w:tcPr>
            <w:tcW w:type="dxa" w:w="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v8m</w:t>
            </w:r>
          </w:p>
        </w:tc>
        <w:tc>
          <w:tcPr>
            <w:tcW w:type="dxa" w:w="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v10m</w:t>
            </w:r>
          </w:p>
        </w:tc>
        <w:tc>
          <w:tcPr>
            <w:tcW w:type="dxa" w:w="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v11m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YOLO26</w:t>
            </w:r>
          </w:p>
        </w:tc>
      </w:tr>
      <w:tr>
        <w:trPr>
          <w:cantSplit/>
          <w:trHeight w:val="200" w:hRule="atLeast"/>
        </w:trPr>
        <w:tc>
          <w:tcPr>
            <w:tcW w:type="dxa" w:w="13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mAP50</w:t>
            </w:r>
          </w:p>
        </w:tc>
        <w:tc>
          <w:tcPr>
            <w:tcW w:type="dxa" w:w="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0,556</w:t>
            </w:r>
          </w:p>
        </w:tc>
        <w:tc>
          <w:tcPr>
            <w:tcW w:type="dxa" w:w="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0,549</w:t>
            </w:r>
          </w:p>
        </w:tc>
        <w:tc>
          <w:tcPr>
            <w:tcW w:type="dxa" w:w="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0,578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0,563</w:t>
            </w:r>
          </w:p>
        </w:tc>
      </w:tr>
      <w:tr>
        <w:trPr>
          <w:cantSplit/>
          <w:trHeight w:val="200" w:hRule="atLeast"/>
        </w:trPr>
        <w:tc>
          <w:tcPr>
            <w:tcW w:type="dxa" w:w="13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mAP50-95</w:t>
            </w:r>
          </w:p>
        </w:tc>
        <w:tc>
          <w:tcPr>
            <w:tcW w:type="dxa" w:w="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0,317</w:t>
            </w:r>
          </w:p>
        </w:tc>
        <w:tc>
          <w:tcPr>
            <w:tcW w:type="dxa" w:w="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0,314</w:t>
            </w:r>
          </w:p>
        </w:tc>
        <w:tc>
          <w:tcPr>
            <w:tcW w:type="dxa" w:w="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0,334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0,322</w:t>
            </w:r>
          </w:p>
        </w:tc>
      </w:tr>
      <w:tr>
        <w:trPr>
          <w:cantSplit/>
          <w:trHeight w:val="200" w:hRule="atLeast"/>
        </w:trPr>
        <w:tc>
          <w:tcPr>
            <w:tcW w:type="dxa" w:w="13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6"/>
                <w:szCs w:val="16"/>
              </w:rPr>
              <w:t xml:space="preserve">Precision</w:t>
            </w:r>
          </w:p>
        </w:tc>
        <w:tc>
          <w:tcPr>
            <w:tcW w:type="dxa" w:w="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0,646</w:t>
            </w:r>
          </w:p>
        </w:tc>
        <w:tc>
          <w:tcPr>
            <w:tcW w:type="dxa" w:w="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0,732</w:t>
            </w:r>
          </w:p>
        </w:tc>
        <w:tc>
          <w:tcPr>
            <w:tcW w:type="dxa" w:w="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0,689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0,658</w:t>
            </w:r>
          </w:p>
        </w:tc>
      </w:tr>
      <w:tr>
        <w:trPr>
          <w:cantSplit/>
          <w:trHeight w:val="200" w:hRule="atLeast"/>
        </w:trPr>
        <w:tc>
          <w:tcPr>
            <w:tcW w:type="dxa" w:w="13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6"/>
                <w:szCs w:val="16"/>
              </w:rPr>
              <w:t xml:space="preserve">Recall</w:t>
            </w:r>
          </w:p>
        </w:tc>
        <w:tc>
          <w:tcPr>
            <w:tcW w:type="dxa" w:w="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0,502</w:t>
            </w:r>
          </w:p>
        </w:tc>
        <w:tc>
          <w:tcPr>
            <w:tcW w:type="dxa" w:w="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0,495</w:t>
            </w:r>
          </w:p>
        </w:tc>
        <w:tc>
          <w:tcPr>
            <w:tcW w:type="dxa" w:w="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0,531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0,509</w:t>
            </w:r>
          </w:p>
        </w:tc>
      </w:tr>
      <w:tr>
        <w:trPr>
          <w:cantSplit/>
          <w:trHeight w:val="200" w:hRule="atLeast"/>
        </w:trPr>
        <w:tc>
          <w:tcPr>
            <w:tcW w:type="dxa" w:w="13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 w:val="false"/>
              <w:spacing w:after="0" w:before="0" w:line="21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Tempo de treino</w:t>
            </w:r>
          </w:p>
        </w:tc>
        <w:tc>
          <w:tcPr>
            <w:tcW w:type="dxa" w:w="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 w:val="false"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20h34min</w:t>
            </w:r>
          </w:p>
        </w:tc>
        <w:tc>
          <w:tcPr>
            <w:tcW w:type="dxa" w:w="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 w:val="false"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23h24min</w:t>
            </w:r>
          </w:p>
        </w:tc>
        <w:tc>
          <w:tcPr>
            <w:tcW w:type="dxa" w:w="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 w:val="false"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21h12min</w:t>
            </w:r>
          </w:p>
        </w:tc>
        <w:tc>
          <w:tcPr>
            <w:tcW w:type="dxa" w:w="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 w:val="false"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21h50min</w:t>
            </w:r>
          </w:p>
        </w:tc>
      </w:tr>
    </w:tbl>
    <w:p>
      <w:pPr>
        <w:spacing w:after="0" w:line="120"/>
      </w:pPr>
    </w:p>
    <w:p>
      <w:pPr>
        <w:spacing w:after="0" w:line="240"/>
        <w:ind w:firstLine="284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Conforme a Tabela II e a Figura 1, o YOLOv11m obteve o melhor desempenho geral, liderando mAP50, mAP50-95 e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Recall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 O YOLOv10m manteve a maior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Precision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(0,732), reduzindo comandos de parada indevidos. O YOLO26 tem mais parâmetros (~26,0M contra ~20,1M do YOLOv11m), mas não superou o YOLOv11m, e o YOLOv8m permanece o mais rápido para treinar.</w:t>
      </w:r>
    </w:p>
    <w:p>
      <w:pPr>
        <w:keepNext/>
        <w:spacing w:before="80"/>
        <w:jc w:val="center"/>
      </w:pPr>
      <w:r>
        <w:drawing>
          <wp:inline distT="0" distB="0" distL="0" distR="0">
            <wp:extent cx="3048000" cy="1543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80" w:before="6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Figura 1 – Métricas globais das quatro arquiteturas.</w:t>
      </w:r>
    </w:p>
    <w:p>
      <w:pPr>
        <w:spacing w:after="0" w:line="240"/>
        <w:ind w:firstLine="284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 Tabela III detalha o AP50 por classe. O YOLOv11m obteve o melhor resultado em todas as classes, com destaque para a placa de trânsito (0,634) e o semáforo vermelho (0,592), a classe mais crítica para o comando de parada. Semáforo amarelo e apagado tiveram os menores valores de AP50, devido ao menor número de amostras (Tabela I) e, no caso do apagado, à maior ambiguidade visual.</w:t>
      </w:r>
    </w:p>
    <w:p>
      <w:pPr>
        <w:keepNext/>
        <w:spacing w:after="60" w:before="6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Tabela III – AP50 por classe.</w:t>
      </w:r>
    </w:p>
    <w:tbl>
      <w:tblPr>
        <w:tblW w:type="dxa" w:w="4823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3"/>
        <w:gridCol w:w="700"/>
        <w:gridCol w:w="700"/>
        <w:gridCol w:w="700"/>
        <w:gridCol w:w="860"/>
      </w:tblGrid>
      <w:tr>
        <w:trPr>
          <w:cantSplit/>
          <w:trHeight w:val="200" w:hRule="atLeast"/>
        </w:trPr>
        <w:tc>
          <w:tcPr>
            <w:tcW w:type="dxa" w:w="18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Classe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v8m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v10m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v11m</w:t>
            </w:r>
          </w:p>
        </w:tc>
        <w:tc>
          <w:tcPr>
            <w:tcW w:type="dxa" w:w="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YOLO26</w:t>
            </w:r>
          </w:p>
        </w:tc>
      </w:tr>
      <w:tr>
        <w:trPr>
          <w:cantSplit/>
          <w:trHeight w:val="200" w:hRule="atLeast"/>
        </w:trPr>
        <w:tc>
          <w:tcPr>
            <w:tcW w:type="dxa" w:w="18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Placa de trânsito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0,612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0,605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0,634</w:t>
            </w:r>
          </w:p>
        </w:tc>
        <w:tc>
          <w:tcPr>
            <w:tcW w:type="dxa" w:w="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0,619</w:t>
            </w:r>
          </w:p>
        </w:tc>
      </w:tr>
      <w:tr>
        <w:trPr>
          <w:cantSplit/>
          <w:trHeight w:val="200" w:hRule="atLeast"/>
        </w:trPr>
        <w:tc>
          <w:tcPr>
            <w:tcW w:type="dxa" w:w="18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Semáforo vermelho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0,568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0,561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0,592</w:t>
            </w:r>
          </w:p>
        </w:tc>
        <w:tc>
          <w:tcPr>
            <w:tcW w:type="dxa" w:w="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0,575</w:t>
            </w:r>
          </w:p>
        </w:tc>
      </w:tr>
      <w:tr>
        <w:trPr>
          <w:cantSplit/>
          <w:trHeight w:val="200" w:hRule="atLeast"/>
        </w:trPr>
        <w:tc>
          <w:tcPr>
            <w:tcW w:type="dxa" w:w="18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Semáforo verde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0,542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0,535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0,566</w:t>
            </w:r>
          </w:p>
        </w:tc>
        <w:tc>
          <w:tcPr>
            <w:tcW w:type="dxa" w:w="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0,548</w:t>
            </w:r>
          </w:p>
        </w:tc>
      </w:tr>
      <w:tr>
        <w:trPr>
          <w:cantSplit/>
          <w:trHeight w:val="200" w:hRule="atLeast"/>
        </w:trPr>
        <w:tc>
          <w:tcPr>
            <w:tcW w:type="dxa" w:w="18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Semáforo amarelo†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0,421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0,410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0,448</w:t>
            </w:r>
          </w:p>
        </w:tc>
        <w:tc>
          <w:tcPr>
            <w:tcW w:type="dxa" w:w="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0,429</w:t>
            </w:r>
          </w:p>
        </w:tc>
      </w:tr>
      <w:tr>
        <w:trPr>
          <w:cantSplit/>
          <w:trHeight w:val="200" w:hRule="atLeast"/>
        </w:trPr>
        <w:tc>
          <w:tcPr>
            <w:tcW w:type="dxa" w:w="18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Semáforo apagado‡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0,385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0,378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0,415</w:t>
            </w:r>
          </w:p>
        </w:tc>
        <w:tc>
          <w:tcPr>
            <w:tcW w:type="dxa" w:w="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0,392</w:t>
            </w:r>
          </w:p>
        </w:tc>
      </w:tr>
      <w:tr>
        <w:trPr>
          <w:cantSplit/>
          <w:trHeight w:val="200" w:hRule="atLeast"/>
        </w:trPr>
        <w:tc>
          <w:tcPr>
            <w:tcW w:type="dxa" w:w="18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 w:val="false"/>
              <w:spacing w:after="0" w:before="0" w:line="21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Média AP50 (5 classes)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 w:val="false"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0,506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 w:val="false"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0,498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 w:val="false"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0,531</w:t>
            </w:r>
          </w:p>
        </w:tc>
        <w:tc>
          <w:tcPr>
            <w:tcW w:type="dxa" w:w="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 w:val="false"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0,513</w:t>
            </w:r>
          </w:p>
        </w:tc>
      </w:tr>
    </w:tbl>
    <w:p>
      <w:pPr>
        <w:spacing w:after="60" w:before="2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†Menor número de amostras. ‡Maior ambiguidade visual.</w:t>
      </w:r>
    </w:p>
    <w:p>
      <w:pPr>
        <w:spacing w:after="0" w:line="240"/>
        <w:ind w:firstLine="284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As Tabelas IV e V mostram que o YOLOv10m manteve a maior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Precision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e o YOLOv11m o maior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Recall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em todas as classes, confirmando a Tabela II.</w:t>
      </w:r>
    </w:p>
    <w:p>
      <w:pPr>
        <w:spacing w:after="0" w:line="240"/>
        <w:ind w:firstLine="284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 AP50 médio das 5 classes (Tabela III) é inferior ao mAP50 da Tabela II porque este último é calculado sobre todas as classes do treino. Já a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Precision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e o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Recall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macro (Tabelas IV e V) ficam abaixo dos valores globais porque a métrica global é ponderada pelo volume de anotações (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micro-average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), enquanto a média macro pondera todas as classes igualmente, o que dá mais peso a semáforo amarelo e apagado.</w:t>
      </w:r>
    </w:p>
    <w:p>
      <w:pPr>
        <w:keepNext/>
        <w:spacing w:after="60" w:before="6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Tabela IV –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Precision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por classe.</w:t>
      </w:r>
    </w:p>
    <w:tbl>
      <w:tblPr>
        <w:tblW w:type="dxa" w:w="4823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3"/>
        <w:gridCol w:w="700"/>
        <w:gridCol w:w="700"/>
        <w:gridCol w:w="700"/>
        <w:gridCol w:w="860"/>
      </w:tblGrid>
      <w:tr>
        <w:trPr>
          <w:cantSplit/>
          <w:trHeight w:val="200" w:hRule="atLeast"/>
        </w:trPr>
        <w:tc>
          <w:tcPr>
            <w:tcW w:type="dxa" w:w="18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Classe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v8m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v10m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v11m</w:t>
            </w:r>
          </w:p>
        </w:tc>
        <w:tc>
          <w:tcPr>
            <w:tcW w:type="dxa" w:w="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YOLO26</w:t>
            </w:r>
          </w:p>
        </w:tc>
      </w:tr>
      <w:tr>
        <w:trPr>
          <w:cantSplit/>
          <w:trHeight w:val="200" w:hRule="atLeast"/>
        </w:trPr>
        <w:tc>
          <w:tcPr>
            <w:tcW w:type="dxa" w:w="18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Placa de trânsito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0,674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0,737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0,693</w:t>
            </w:r>
          </w:p>
        </w:tc>
        <w:tc>
          <w:tcPr>
            <w:tcW w:type="dxa" w:w="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0,669</w:t>
            </w:r>
          </w:p>
        </w:tc>
      </w:tr>
      <w:tr>
        <w:trPr>
          <w:cantSplit/>
          <w:trHeight w:val="200" w:hRule="atLeast"/>
        </w:trPr>
        <w:tc>
          <w:tcPr>
            <w:tcW w:type="dxa" w:w="18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Semáforo vermelho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0,644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0,704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0,665</w:t>
            </w:r>
          </w:p>
        </w:tc>
        <w:tc>
          <w:tcPr>
            <w:tcW w:type="dxa" w:w="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0,640</w:t>
            </w:r>
          </w:p>
        </w:tc>
      </w:tr>
      <w:tr>
        <w:trPr>
          <w:cantSplit/>
          <w:trHeight w:val="200" w:hRule="atLeast"/>
        </w:trPr>
        <w:tc>
          <w:tcPr>
            <w:tcW w:type="dxa" w:w="18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Semáforo verde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0,626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0,684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0,647</w:t>
            </w:r>
          </w:p>
        </w:tc>
        <w:tc>
          <w:tcPr>
            <w:tcW w:type="dxa" w:w="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0,622</w:t>
            </w:r>
          </w:p>
        </w:tc>
      </w:tr>
      <w:tr>
        <w:trPr>
          <w:cantSplit/>
          <w:trHeight w:val="200" w:hRule="atLeast"/>
        </w:trPr>
        <w:tc>
          <w:tcPr>
            <w:tcW w:type="dxa" w:w="18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Semáforo amarelo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0,538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0,583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0,562</w:t>
            </w:r>
          </w:p>
        </w:tc>
        <w:tc>
          <w:tcPr>
            <w:tcW w:type="dxa" w:w="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0,537</w:t>
            </w:r>
          </w:p>
        </w:tc>
      </w:tr>
      <w:tr>
        <w:trPr>
          <w:cantSplit/>
          <w:trHeight w:val="200" w:hRule="atLeast"/>
        </w:trPr>
        <w:tc>
          <w:tcPr>
            <w:tcW w:type="dxa" w:w="18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Semáforo apagado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0,510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0,556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0,537</w:t>
            </w:r>
          </w:p>
        </w:tc>
        <w:tc>
          <w:tcPr>
            <w:tcW w:type="dxa" w:w="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0,509</w:t>
            </w:r>
          </w:p>
        </w:tc>
      </w:tr>
      <w:tr>
        <w:trPr>
          <w:cantSplit/>
          <w:trHeight w:val="200" w:hRule="atLeast"/>
        </w:trPr>
        <w:tc>
          <w:tcPr>
            <w:tcW w:type="dxa" w:w="18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Média Simples (Macro)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0,598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0,653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0,621</w:t>
            </w:r>
          </w:p>
        </w:tc>
        <w:tc>
          <w:tcPr>
            <w:tcW w:type="dxa" w:w="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0,595</w:t>
            </w:r>
          </w:p>
        </w:tc>
      </w:tr>
      <w:tr>
        <w:trPr>
          <w:cantSplit/>
          <w:trHeight w:val="200" w:hRule="atLeast"/>
        </w:trPr>
        <w:tc>
          <w:tcPr>
            <w:tcW w:type="dxa" w:w="18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 w:val="false"/>
              <w:spacing w:after="0" w:before="0" w:line="21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Média Global (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16"/>
                <w:szCs w:val="16"/>
              </w:rPr>
              <w:t xml:space="preserve">Precision</w:t>
            </w: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 w:val="false"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0,646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 w:val="false"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0,732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 w:val="false"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0,689</w:t>
            </w:r>
          </w:p>
        </w:tc>
        <w:tc>
          <w:tcPr>
            <w:tcW w:type="dxa" w:w="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 w:val="false"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0,658</w:t>
            </w:r>
          </w:p>
        </w:tc>
      </w:tr>
    </w:tbl>
    <w:p>
      <w:pPr>
        <w:keepNext/>
        <w:spacing w:after="60" w:before="10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Tabela V –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Recall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por classe.</w:t>
      </w:r>
    </w:p>
    <w:tbl>
      <w:tblPr>
        <w:tblW w:type="dxa" w:w="4823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3"/>
        <w:gridCol w:w="700"/>
        <w:gridCol w:w="700"/>
        <w:gridCol w:w="700"/>
        <w:gridCol w:w="860"/>
      </w:tblGrid>
      <w:tr>
        <w:trPr>
          <w:cantSplit/>
          <w:trHeight w:val="200" w:hRule="atLeast"/>
        </w:trPr>
        <w:tc>
          <w:tcPr>
            <w:tcW w:type="dxa" w:w="18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Classe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v8m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v10m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v11m</w:t>
            </w:r>
          </w:p>
        </w:tc>
        <w:tc>
          <w:tcPr>
            <w:tcW w:type="dxa" w:w="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YOLO26</w:t>
            </w:r>
          </w:p>
        </w:tc>
      </w:tr>
      <w:tr>
        <w:trPr>
          <w:cantSplit/>
          <w:trHeight w:val="200" w:hRule="atLeast"/>
        </w:trPr>
        <w:tc>
          <w:tcPr>
            <w:tcW w:type="dxa" w:w="18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Placa de trânsito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0,536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0,528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0,552</w:t>
            </w:r>
          </w:p>
        </w:tc>
        <w:tc>
          <w:tcPr>
            <w:tcW w:type="dxa" w:w="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0,537</w:t>
            </w:r>
          </w:p>
        </w:tc>
      </w:tr>
      <w:tr>
        <w:trPr>
          <w:cantSplit/>
          <w:trHeight w:val="200" w:hRule="atLeast"/>
        </w:trPr>
        <w:tc>
          <w:tcPr>
            <w:tcW w:type="dxa" w:w="18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Semáforo vermelho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0,505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0,497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0,523</w:t>
            </w:r>
          </w:p>
        </w:tc>
        <w:tc>
          <w:tcPr>
            <w:tcW w:type="dxa" w:w="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0,506</w:t>
            </w:r>
          </w:p>
        </w:tc>
      </w:tr>
      <w:tr>
        <w:trPr>
          <w:cantSplit/>
          <w:trHeight w:val="200" w:hRule="atLeast"/>
        </w:trPr>
        <w:tc>
          <w:tcPr>
            <w:tcW w:type="dxa" w:w="18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Semáforo verde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0,487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0,479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0,504</w:t>
            </w:r>
          </w:p>
        </w:tc>
        <w:tc>
          <w:tcPr>
            <w:tcW w:type="dxa" w:w="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0,487</w:t>
            </w:r>
          </w:p>
        </w:tc>
      </w:tr>
      <w:tr>
        <w:trPr>
          <w:cantSplit/>
          <w:trHeight w:val="200" w:hRule="atLeast"/>
        </w:trPr>
        <w:tc>
          <w:tcPr>
            <w:tcW w:type="dxa" w:w="18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Semáforo amarelo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0,397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0,387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0,418</w:t>
            </w:r>
          </w:p>
        </w:tc>
        <w:tc>
          <w:tcPr>
            <w:tcW w:type="dxa" w:w="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0,401</w:t>
            </w:r>
          </w:p>
        </w:tc>
      </w:tr>
      <w:tr>
        <w:trPr>
          <w:cantSplit/>
          <w:trHeight w:val="200" w:hRule="atLeast"/>
        </w:trPr>
        <w:tc>
          <w:tcPr>
            <w:tcW w:type="dxa" w:w="18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Semáforo apagado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0,370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0,363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0,393</w:t>
            </w:r>
          </w:p>
        </w:tc>
        <w:tc>
          <w:tcPr>
            <w:tcW w:type="dxa" w:w="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0,373</w:t>
            </w:r>
          </w:p>
        </w:tc>
      </w:tr>
      <w:tr>
        <w:trPr>
          <w:cantSplit/>
          <w:trHeight w:val="200" w:hRule="atLeast"/>
        </w:trPr>
        <w:tc>
          <w:tcPr>
            <w:tcW w:type="dxa" w:w="18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Média Simples (Macro)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0,459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0,451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0,478</w:t>
            </w:r>
          </w:p>
        </w:tc>
        <w:tc>
          <w:tcPr>
            <w:tcW w:type="dxa" w:w="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0,461</w:t>
            </w:r>
          </w:p>
        </w:tc>
      </w:tr>
      <w:tr>
        <w:trPr>
          <w:cantSplit/>
          <w:trHeight w:val="200" w:hRule="atLeast"/>
        </w:trPr>
        <w:tc>
          <w:tcPr>
            <w:tcW w:type="dxa" w:w="18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 w:val="false"/>
              <w:spacing w:after="0" w:before="0" w:line="21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Média Global (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16"/>
                <w:szCs w:val="16"/>
              </w:rPr>
              <w:t xml:space="preserve">Recall</w:t>
            </w: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)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 w:val="false"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0,502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 w:val="false"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0,495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 w:val="false"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0,531</w:t>
            </w:r>
          </w:p>
        </w:tc>
        <w:tc>
          <w:tcPr>
            <w:tcW w:type="dxa" w:w="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keepNext w:val="false"/>
              <w:spacing w:after="0" w:before="0" w:line="21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0,509</w:t>
            </w:r>
          </w:p>
        </w:tc>
      </w:tr>
    </w:tbl>
    <w:p>
      <w:pPr>
        <w:spacing w:after="0" w:line="120"/>
      </w:pPr>
    </w:p>
    <w:p>
      <w:pPr>
        <w:spacing w:after="0" w:line="240"/>
        <w:ind w:firstLine="284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 Figura 2 compara YOLOv8m e YOLOv10m no mesmo quadro.</w:t>
      </w:r>
    </w:p>
    <w:p>
      <w:pPr>
        <w:keepNext/>
        <w:spacing w:before="60"/>
        <w:jc w:val="center"/>
      </w:pPr>
      <w:r>
        <w:drawing>
          <wp:inline distT="0" distB="0" distL="0" distR="0">
            <wp:extent cx="1495425" cy="838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sz w:val="8"/>
          <w:szCs w:val="8"/>
        </w:rPr>
        <w:t xml:space="preserve"> </w:t>
      </w:r>
      <w:r>
        <w:drawing>
          <wp:inline distT="0" distB="0" distL="0" distR="0">
            <wp:extent cx="1495425" cy="838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60" w:before="6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Figura 2 – Exemplo de detecção: YOLOv8m (esquerda) vs. YOLOv10m (direita) no mesmo quadro.</w:t>
      </w:r>
    </w:p>
    <w:p>
      <w:pPr>
        <w:spacing w:after="0" w:line="240"/>
        <w:ind w:firstLine="284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 Figura 3 repete a comparação em cena com chuva.</w:t>
      </w:r>
    </w:p>
    <w:p>
      <w:pPr>
        <w:keepNext/>
        <w:spacing w:before="60"/>
        <w:jc w:val="center"/>
      </w:pPr>
      <w:r>
        <w:drawing>
          <wp:inline distT="0" distB="0" distL="0" distR="0">
            <wp:extent cx="1495425" cy="838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sz w:val="8"/>
          <w:szCs w:val="8"/>
        </w:rPr>
        <w:t xml:space="preserve"> </w:t>
      </w:r>
      <w:r>
        <w:drawing>
          <wp:inline distT="0" distB="0" distL="0" distR="0">
            <wp:extent cx="1495425" cy="838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60" w:before="6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Figura 3 – Segundo exemplo de detecção, em cena com chuva: YOLOv8m (esquerda) vs. YOLOv10m (direita).</w:t>
      </w:r>
    </w:p>
    <w:p>
      <w:pPr>
        <w:keepNext/>
        <w:spacing w:after="20" w:before="6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4. Conclusões</w:t>
      </w:r>
    </w:p>
    <w:p>
      <w:pPr>
        <w:spacing w:after="0" w:line="240"/>
        <w:ind w:firstLine="284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Nenhuma arquitetura dominou todas as métricas. O YOLOv11m apresentou o melhor equilíbrio geral (maior mAP50, mAP50-95,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Recall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e AP50 por classe, incluindo o semáforo vermelho) e seria o mais indicado para a RoboRacer; o YOLOv10m manteve a maior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Precision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sendo preferível quando falsos positivos forem prioritários; o YOLO26 não superou o YOLOv11m apesar de mais parâmetros; e o YOLOv8m foi o mais rápido de treinar.</w:t>
      </w:r>
    </w:p>
    <w:p>
      <w:pPr>
        <w:spacing w:after="0" w:line="240"/>
        <w:ind w:firstLine="284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Como limitações: treino único por arquitetura (sem repetição de sementes), de modo que diferenças pequenas de mAP50 podem estar parcialmente dentro da variância normal entre execuções; avaliação restrita a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software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sobre o BDD100K, sem implementação física; e desbalanceamento das classes semáforo amarelo e apagado.</w:t>
      </w:r>
    </w:p>
    <w:p>
      <w:pPr>
        <w:spacing w:after="0" w:line="240"/>
        <w:ind w:firstLine="284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Próximas etapas: (i) avaliação do módulo de faixa e sua integração ao módulo semântico; (ii) validação cruzada (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cross-validation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) e repetição dos treinos com sementes distintas; (iii) testes de significância estatística entre os modelos (Friedman e Wilcoxon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signed-rank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[9]); e (iv) balanceamento de dados para semáforo amarelo e apagado.</w:t>
      </w:r>
    </w:p>
    <w:p>
      <w:pPr>
        <w:keepNext/>
        <w:spacing w:after="20" w:before="6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5. Referências</w:t>
      </w:r>
    </w:p>
    <w:p>
      <w:pPr>
        <w:spacing w:after="0"/>
        <w:ind w:left="284" w:hanging="284"/>
        <w:jc w:val="left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[1] Organização Mundial da Saúde,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Global Status Report on Road Safety 2023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, Geneva, 2023.</w:t>
      </w:r>
    </w:p>
    <w:p>
      <w:pPr>
        <w:spacing w:after="0"/>
        <w:ind w:left="284" w:hanging="284"/>
        <w:jc w:val="left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[2] Instituto de Pesquisa Econômica Aplicada,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Acidentes de Trânsito nas Rodovias Federais Brasileiras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, Brasília, 2021.</w:t>
      </w:r>
    </w:p>
    <w:p>
      <w:pPr>
        <w:spacing w:after="0"/>
        <w:ind w:left="284" w:hanging="284"/>
        <w:jc w:val="left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[3] O'Kelly, M. et al.,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F1TENTH: An Open-Source Evaluation Platform for Autonomous Driving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, IEEE International Conference on Robotics and Automation (ICRA), 2017.</w:t>
      </w:r>
    </w:p>
    <w:p>
      <w:pPr>
        <w:spacing w:after="0"/>
        <w:ind w:left="284" w:hanging="284"/>
        <w:jc w:val="left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[4] Yu, F., Chen, H., Wang, X. et al.,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BDD100K: A Diverse Driving Dataset for Heterogeneous Multitask Learning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, Proceedings of CVPR, (2020) 2636-2645.</w:t>
      </w:r>
    </w:p>
    <w:p>
      <w:pPr>
        <w:spacing w:after="0"/>
        <w:ind w:left="284" w:hanging="284"/>
        <w:jc w:val="left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[5] Wang, A. et al.,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YOLOv10: Real-Time End-to-End Object Detection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, arXiv preprint arXiv:2405.14458, 2024.</w:t>
      </w:r>
    </w:p>
    <w:p>
      <w:pPr>
        <w:spacing w:after="0"/>
        <w:ind w:left="284" w:hanging="284"/>
        <w:jc w:val="left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[6] Jocher, G., Chaurasia, A., Qiu, J.,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Ultralytics YOLOv8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 (Versão 8.0.0) [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software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], 2023. Disponível em: https://github.com/ultralytics/ultralytics.</w:t>
      </w:r>
    </w:p>
    <w:p>
      <w:pPr>
        <w:spacing w:after="0"/>
        <w:ind w:left="284" w:hanging="284"/>
        <w:jc w:val="left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[7] Khanam, R., Hussain, M.,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YOLOv11: An Overview of the Key Architectural Enhancements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, arXiv preprint arXiv:2410.17725, 2024.</w:t>
      </w:r>
    </w:p>
    <w:p>
      <w:pPr>
        <w:spacing w:after="0"/>
        <w:ind w:left="284" w:hanging="284"/>
        <w:jc w:val="left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[8] Ultralytics,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Ultralytics YOLO26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, 2026. Disponível em: https://docs.ultralytics.com/models/yolo26/.</w:t>
      </w:r>
    </w:p>
    <w:p>
      <w:pPr>
        <w:spacing w:after="0"/>
        <w:ind w:left="284" w:hanging="284"/>
        <w:jc w:val="left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[9] Demšar, J.,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Statistical Comparisons of Classifiers over Multiple Data Sets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, Journal of Machine Learning Research 7 (2006) 1-30.</w:t>
      </w:r>
    </w:p>
    <w:p>
      <w:pPr>
        <w:keepNext/>
        <w:spacing w:after="20" w:before="6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Agradecimentos</w:t>
      </w:r>
    </w:p>
    <w:p>
      <w:pPr>
        <w:spacing w:after="0" w:line="240"/>
        <w:ind w:firstLine="284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À FEI, pela infraestrutura e recursos computacionais.</w:t>
      </w:r>
    </w:p>
    <w:p>
      <w:pPr>
        <w:pBdr>
          <w:top w:val="single" w:color="000000" w:sz="4" w:space="2"/>
        </w:pBdr>
        <w:spacing w:before="60"/>
      </w:pPr>
      <w:r>
        <w:rPr>
          <w:rFonts w:ascii="Times New Roman" w:cs="Times New Roman" w:eastAsia="Times New Roman" w:hAnsi="Times New Roman"/>
          <w:sz w:val="16"/>
          <w:szCs w:val="16"/>
          <w:vertAlign w:val="superscript"/>
        </w:rPr>
        <w:t xml:space="preserve">1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Aluna de IC do Centro Universitário FEI, bolsa PBIC [PBIC077/25], vigência 02/2026 a 12/2026.</w:t>
      </w:r>
    </w:p>
    <w:sectPr>
      <w:headerReference w:type="default" r:id="rId9"/>
      <w:footerReference w:type="default" r:id="rId10"/>
      <w:type w:val="continuous"/>
      <w:pgSz w:w="11906" w:h="16838" w:orient="portrait"/>
      <w:pgMar w:top="760" w:right="980" w:bottom="700" w:left="980" w:header="200" w:footer="200" w:gutter="0"/>
      <w:pgNumType/>
      <w:cols w:space="300" w:num="2" w:equalWidth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6" w:space="1"/>
      </w:pBdr>
      <w:jc w:val="right"/>
    </w:pPr>
    <w:r>
      <w:rPr>
        <w:rFonts w:ascii="Times New Roman" w:cs="Times New Roman" w:eastAsia="Times New Roman" w:hAnsi="Times New Roman"/>
        <w:sz w:val="20"/>
        <w:szCs w:val="20"/>
      </w:rPr>
      <w:t xml:space="preserve">São Bernardo do Campo – 2026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6" w:space="1"/>
      </w:pBdr>
      <w:jc w:val="right"/>
    </w:pPr>
    <w:r>
      <w:rPr>
        <w:rFonts w:ascii="Times New Roman" w:cs="Times New Roman" w:eastAsia="Times New Roman" w:hAnsi="Times New Roman"/>
        <w:sz w:val="20"/>
        <w:szCs w:val="20"/>
      </w:rPr>
      <w:t xml:space="preserve">São Bernardo do Campo –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1"/>
      </w:pBdr>
    </w:pPr>
    <w:r>
      <w:rPr>
        <w:rFonts w:ascii="Times New Roman" w:cs="Times New Roman" w:eastAsia="Times New Roman" w:hAnsi="Times New Roman"/>
        <w:sz w:val="20"/>
        <w:szCs w:val="20"/>
      </w:rPr>
      <w:t xml:space="preserve">XVI Simpósio de Iniciação da FEI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1"/>
      </w:pBdr>
    </w:pPr>
    <w:r>
      <w:rPr>
        <w:rFonts w:ascii="Times New Roman" w:cs="Times New Roman" w:eastAsia="Times New Roman" w:hAnsi="Times New Roman"/>
        <w:sz w:val="20"/>
        <w:szCs w:val="20"/>
      </w:rPr>
      <w:t xml:space="preserve">XVI Simpósio de Iniciação da FEI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4e6fece6194cd195d32047c349481b9df71fcc82.png"/><Relationship Id="rId12" Type="http://schemas.openxmlformats.org/officeDocument/2006/relationships/image" Target="media/edb9589e28c65d4baa710fe856f592bf9151479e.png"/><Relationship Id="rId13" Type="http://schemas.openxmlformats.org/officeDocument/2006/relationships/image" Target="media/3e631d62141f655439055ca85c2bd614665dad6e.png"/><Relationship Id="rId14" Type="http://schemas.openxmlformats.org/officeDocument/2006/relationships/image" Target="media/8420e888af8799bb8e92ab586b64c0bbe7985d44.png"/><Relationship Id="rId15" Type="http://schemas.openxmlformats.org/officeDocument/2006/relationships/image" Target="media/a0dbc181b13f4e08a9fe0f1e28ad503db16daf4d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2026-10-12T14:17:50.844Z</dcterms:created>
  <dcterms:modified xsi:type="dcterms:W3CDTF">2026-10-12T14:17:50.848Z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