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p>
            <w:pPr>
              <w:pStyle w:val="Compact"/>
              <w:jc w:val="center"/>
            </w:pPr>
            <w:r>
              <w:t xml:space="preserve">PVC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p>
            <w:pPr>
              <w:pStyle w:val="Compact"/>
              <w:jc w:val="center"/>
            </w:pPr>
            <w:r>
              <w:t xml:space="preserve">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p>
            <w:pPr>
              <w:pStyle w:val="Compact"/>
              <w:jc w:val="center"/>
            </w:pPr>
            <w:r>
              <w:t xml:space="preserve">PP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p>
            <w:pPr>
              <w:pStyle w:val="Compact"/>
              <w:jc w:val="center"/>
            </w:pPr>
            <w:r>
              <w:t xml:space="preserve">PS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p>
            <w:pPr>
              <w:pStyle w:val="Compact"/>
              <w:jc w:val="center"/>
            </w:pPr>
            <w:r>
              <w:t xml:space="preserve">PET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s6</w:t>
            </w:r>
          </w:p>
        </w:tc>
        <w:tc>
          <w:p>
            <w:pPr>
              <w:pStyle w:val="Compact"/>
              <w:jc w:val="center"/>
            </w:pPr>
            <w:r>
              <w:t xml:space="preserve">PUR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s7</w:t>
            </w:r>
          </w:p>
        </w:tc>
        <w:tc>
          <w:p>
            <w:pPr>
              <w:pStyle w:val="Compact"/>
              <w:jc w:val="center"/>
            </w:pPr>
            <w:r>
              <w:t xml:space="preserve">PC</w:t>
            </w:r>
          </w:p>
        </w:tc>
      </w:tr>
    </w:tbl>
    <w:p>
      <w:pPr>
        <w:pStyle w:val="Heading1"/>
      </w:pPr>
      <w:bookmarkStart w:id="21" w:name="header-n27"/>
      <w:bookmarkEnd w:id="21"/>
      <w:r>
        <w:t xml:space="preserve">中国的例子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</m:oMath>
      </m:oMathPara>
    </w:p>
    <w:p>
      <w:pPr>
        <w:pStyle w:val="Heading2"/>
      </w:pPr>
      <w:bookmarkStart w:id="22" w:name="header-n30"/>
      <w:bookmarkEnd w:id="22"/>
      <w:r>
        <w:t xml:space="preserve">第一个约束</w:t>
      </w:r>
    </w:p>
    <w:p>
      <w:pPr>
        <w:pStyle w:val="FirstParagraph"/>
      </w:pPr>
      <w:r>
        <w:t xml:space="preserve">中国塑料产值：9638.36亿元（2008年数据）</w:t>
      </w:r>
    </w:p>
    <w:p>
      <w:pPr>
        <w:pStyle w:val="BodyText"/>
      </w:pPr>
      <w:r>
        <w:t xml:space="preserve">中国塑料加工工业协会. http://www.cppia.com.cn/cppia1/zdbd/200942111619.htm. Accessed 16 Feb. 2020.</w:t>
      </w:r>
    </w:p>
    <w:p>
      <w:pPr>
        <w:pStyle w:val="BodyText"/>
      </w:pPr>
      <w:r>
        <w:t xml:space="preserve">中国GDP：319244.6（2008年数据）（亿元）</w:t>
      </w:r>
    </w:p>
    <w:p>
      <w:pPr>
        <w:pStyle w:val="BodyText"/>
      </w:pPr>
      <w:r>
        <w:t xml:space="preserve">国家数据.</w:t>
      </w:r>
      <w:r>
        <w:t xml:space="preserve"> </w:t>
      </w:r>
      <w:hyperlink r:id="rId23">
        <w:r>
          <w:rPr>
            <w:rStyle w:val="Hyperlink"/>
          </w:rPr>
          <w:t xml:space="preserve">http://data.stats.gov.cn/search.htm?s=2008%E5%B9%B4%E4%B8%AD%E5%9B%BDGDP</w:t>
        </w:r>
      </w:hyperlink>
      <w:r>
        <w:t xml:space="preserve">. Accessed 16 Feb. 2020.</w:t>
      </w:r>
    </w:p>
    <w:p>
      <w:pPr>
        <w:pStyle w:val="BodyText"/>
      </w:pPr>
      <w:r>
        <w:t xml:space="preserve">因此</w:t>
      </w:r>
    </w:p>
    <w:p>
      <w:pPr>
        <w:pStyle w:val="Compact"/>
      </w:pPr>
      <m:oMathPara>
        <m:oMathParaPr>
          <m:jc m:val="center"/>
        </m:oMathParaPr>
        <m:oMath>
          <m:r>
            <m:t>θ</m:t>
          </m:r>
          <m:r>
            <m:t>=</m:t>
          </m:r>
          <m:r>
            <m:t>9638.36</m:t>
          </m:r>
          <m:r>
            <m:t>/</m:t>
          </m:r>
          <m:r>
            <m:t>319244.6</m:t>
          </m:r>
          <m:r>
            <m:t>=</m:t>
          </m:r>
          <m:r>
            <m:t>0.03</m:t>
          </m:r>
        </m:oMath>
      </m:oMathPara>
    </w:p>
    <w:p>
      <w:pPr>
        <w:pStyle w:val="FirstParagraph"/>
      </w:pPr>
      <w:r>
        <w:t xml:space="preserve">领土面积960万平方千米</w:t>
      </w:r>
    </w:p>
    <w:p>
      <w:pPr>
        <w:pStyle w:val="BodyText"/>
      </w:pPr>
      <w:r>
        <w:t xml:space="preserve">“中华人民共和国领土变化.” 维基百科，自由的百科全书, 9 Feb. 2020.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https://zh.wikipedia.org/w/index.php?title=%E4%B8%AD%E5%8D%8E%E4%BA%BA%E6%B0%91%E5%85%B1%E5%92%8C%E5%9B%BD%E9%A2%86%E5%9C%9F%E5%8F%98%E5%8C%96&amp;oldid=58060041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>
            <m:t>700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265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325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r>
            <m:t>255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r>
            <m:t>180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r>
            <m:t>180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≤</m:t>
          </m:r>
          <m:r>
            <m:t>0.03</m:t>
          </m:r>
          <m:r>
            <m:t>×</m:t>
          </m:r>
          <m:r>
            <m:t>9600000000000</m:t>
          </m:r>
        </m:oMath>
      </m:oMathPara>
    </w:p>
    <w:p>
      <w:pPr>
        <w:pStyle w:val="Heading2"/>
      </w:pPr>
      <w:bookmarkStart w:id="25" w:name="header-n71"/>
      <w:bookmarkEnd w:id="25"/>
      <w:r>
        <w:t xml:space="preserve">第二个约束</w:t>
      </w:r>
    </w:p>
    <w:p>
      <w:pPr>
        <w:pStyle w:val="FirstParagraph"/>
      </w:pPr>
      <w:r>
        <w:t xml:space="preserve">陆地水资源总量：26323.20亿立方米</w:t>
      </w:r>
    </w:p>
    <w:p>
      <w:pPr>
        <w:pStyle w:val="BodyText"/>
      </w:pPr>
      <w:r>
        <w:t xml:space="preserve">国家数据.</w:t>
      </w:r>
      <w:r>
        <w:t xml:space="preserve"> </w:t>
      </w:r>
      <w:hyperlink r:id="rId26">
        <w:r>
          <w:rPr>
            <w:rStyle w:val="Hyperlink"/>
          </w:rPr>
          <w:t xml:space="preserve">http://data.stats.gov.cn/search.htm?s=%E9%99%86%E5%9C%B0%E6%B0%B4%E8%B5%84%E6%BA%90</w:t>
        </w:r>
      </w:hyperlink>
      <w:r>
        <w:t xml:space="preserve">. Accessed 16 Feb. 2020.</w:t>
      </w:r>
    </w:p>
    <w:p>
      <w:pPr>
        <w:pStyle w:val="Compact"/>
      </w:pPr>
      <m:oMathPara>
        <m:oMathParaPr>
          <m:jc m:val="center"/>
        </m:oMathParaPr>
        <m:oMath>
          <m:r>
            <m:t>3000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1650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3685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r>
            <m:t>6355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r>
            <m:t>8000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r>
            <m:t>5050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≤</m:t>
          </m:r>
          <m:r>
            <m:t>0.03</m:t>
          </m:r>
          <m:r>
            <m:t>×</m:t>
          </m:r>
          <m:r>
            <m:t>2632320000000</m:t>
          </m:r>
        </m:oMath>
      </m:oMathPara>
    </w:p>
    <w:p>
      <w:pPr>
        <w:pStyle w:val="Heading2"/>
      </w:pPr>
      <w:bookmarkStart w:id="27" w:name="header-n84"/>
      <w:bookmarkEnd w:id="27"/>
      <w:r>
        <w:t xml:space="preserve">第三个约束</w:t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t>=</m:t>
          </m:r>
          <m:r>
            <m:t>0.7</m:t>
          </m:r>
        </m:oMath>
      </m:oMathPara>
    </w:p>
    <w:p>
      <w:pPr>
        <w:pStyle w:val="FirstParagraph"/>
      </w:pPr>
      <w:r>
        <w:rPr>
          <w:i/>
        </w:rPr>
        <w:t xml:space="preserve">中国是海洋塑料最多的国家，塑料垃圾如何被排入洋流？</w:t>
      </w:r>
      <w:r>
        <w:rPr>
          <w:i/>
          <w:i/>
        </w:rPr>
        <w:t xml:space="preserve">湃客</w:t>
      </w:r>
      <w:r>
        <w:rPr>
          <w:i/>
        </w:rPr>
        <w:t xml:space="preserve">澎湃新闻-The Paper</w:t>
      </w:r>
      <w:r>
        <w:t xml:space="preserve">. https://www.thepaper.cn/newsDetail</w:t>
      </w:r>
      <w:r>
        <w:rPr>
          <w:i/>
        </w:rPr>
        <w:t xml:space="preserve">forward</w:t>
      </w:r>
      <w:r>
        <w:t xml:space="preserve">2606687. Accessed 16 Feb. 2020.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塑料品种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PVC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PS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</w:t>
            </w:r>
          </w:p>
        </w:tc>
        <w:tc>
          <w:p>
            <w:pPr>
              <w:pStyle w:val="Compact"/>
              <w:jc w:val="center"/>
            </w:pPr>
            <w:r>
              <w:t xml:space="preserve">2.29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PUR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PC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</w:tr>
    </w:tbl>
    <w:p>
      <w:pPr>
        <w:pStyle w:val="BodyText"/>
      </w:pPr>
      <w:r>
        <w:t xml:space="preserve">2005年中国碳排放74.67亿吨</w:t>
      </w:r>
    </w:p>
    <w:p>
      <w:pPr>
        <w:pStyle w:val="BodyText"/>
      </w:pPr>
      <w:r>
        <w:t xml:space="preserve">中国气候变化第一次两年更新报告核心内容解读</w:t>
      </w:r>
      <w:r>
        <w:rPr>
          <w:i/>
        </w:rPr>
        <w:t xml:space="preserve">中华人民共和国生态环境部. http://www.mee.gov.cn/ywgz/ydqhbh/wsqtkz/201904/t20190419</w:t>
      </w:r>
      <w:r>
        <w:t xml:space="preserve">700369.shtml. Accessed 16 Feb. 2020.</w:t>
      </w:r>
    </w:p>
    <w:p>
      <w:pPr>
        <w:pStyle w:val="BodyText"/>
      </w:pPr>
      <w:r>
        <w:t xml:space="preserve">2005年GDP 187318.9亿元</w:t>
      </w:r>
    </w:p>
    <w:p>
      <w:pPr>
        <w:pStyle w:val="BodyText"/>
      </w:pPr>
      <w:r>
        <w:t xml:space="preserve">GDP均</w:t>
      </w:r>
    </w:p>
    <w:p>
      <w:pPr>
        <w:pStyle w:val="BodyText"/>
      </w:pPr>
      <w:r>
        <w:t xml:space="preserve">承诺GDP均降低45%</w:t>
      </w:r>
    </w:p>
    <w:p>
      <w:pPr>
        <w:pStyle w:val="BodyText"/>
      </w:pPr>
      <w:r>
        <w:t xml:space="preserve">2019年 GDP 919281.1亿元</w:t>
      </w:r>
    </w:p>
    <w:p>
      <w:pPr>
        <w:pStyle w:val="BodyText"/>
      </w:pPr>
      <w:r>
        <w:t xml:space="preserve">碳排放201.55亿吨</w:t>
      </w:r>
    </w:p>
    <w:p>
      <w:pPr>
        <w:pStyle w:val="Compact"/>
      </w:pPr>
      <m:oMathPara>
        <m:oMathParaPr>
          <m:jc m:val="center"/>
        </m:oMathParaPr>
        <m:oMath>
          <m:r>
            <m:t>1.41</m:t>
          </m:r>
          <m:r>
            <m:t>×</m:t>
          </m:r>
          <m:r>
            <m:t>(</m:t>
          </m:r>
          <m:r>
            <m:t>1.41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3.14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3.14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r>
            <m:t>3.38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r>
            <m:t>2.29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r>
            <m:t>0.35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r>
            <m:t>1.39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)</m:t>
          </m:r>
          <m:r>
            <m:t>≤</m:t>
          </m:r>
          <m:r>
            <m:t>0.04</m:t>
          </m:r>
          <m:r>
            <m:t>×</m:t>
          </m:r>
          <m:r>
            <m:t>20155000000000</m:t>
          </m:r>
        </m:oMath>
      </m:oMathPara>
    </w:p>
    <w:p>
      <w:pPr>
        <w:pStyle w:val="Heading2"/>
      </w:pPr>
      <w:bookmarkStart w:id="28" w:name="header-n133"/>
      <w:bookmarkEnd w:id="28"/>
      <w:r>
        <w:t xml:space="preserve">第四个约束</w:t>
      </w:r>
    </w:p>
    <w:p>
      <w:pPr>
        <w:pStyle w:val="FirstParagraph"/>
      </w:pPr>
      <w:r>
        <w:t xml:space="preserve">中国回收率20%</w:t>
      </w:r>
    </w:p>
    <w:p>
      <w:pPr>
        <w:pStyle w:val="BodyText"/>
      </w:pPr>
      <w:r>
        <w:rPr>
          <w:i/>
        </w:rPr>
        <w:t xml:space="preserve">中国是海洋塑料最多的国家，塑料垃圾如何被排入洋流？</w:t>
      </w:r>
      <w:r>
        <w:rPr>
          <w:i/>
          <w:i/>
        </w:rPr>
        <w:t xml:space="preserve">湃客</w:t>
      </w:r>
      <w:r>
        <w:rPr>
          <w:i/>
        </w:rPr>
        <w:t xml:space="preserve">澎湃新闻-The Paper</w:t>
      </w:r>
      <w:r>
        <w:t xml:space="preserve">. https://www.thepaper.cn/newsDetail</w:t>
      </w:r>
      <w:r>
        <w:rPr>
          <w:i/>
        </w:rPr>
        <w:t xml:space="preserve">forward</w:t>
      </w:r>
      <w:r>
        <w:t xml:space="preserve">2606687. Accessed 16 Feb. 2020.</w:t>
      </w:r>
    </w:p>
    <w:p>
      <w:pPr>
        <w:pStyle w:val="BodyText"/>
      </w:pPr>
      <w:r>
        <w:t xml:space="preserve">排放量242.5万立方米</w:t>
      </w:r>
    </w:p>
    <w:p>
      <w:pPr>
        <w:pStyle w:val="BodyText"/>
      </w:pPr>
      <w:r>
        <w:t xml:space="preserve">塑料密度差不多为1g/cm3</w:t>
      </w:r>
    </w:p>
    <w:p>
      <w:pPr>
        <w:pStyle w:val="BodyText"/>
      </w:pPr>
      <w:r>
        <w:t xml:space="preserve">也就是说1000kg/m3</w:t>
      </w:r>
    </w:p>
    <w:p>
      <w:pPr>
        <w:pStyle w:val="Compact"/>
      </w:pPr>
      <m:oMathPara>
        <m:oMathParaPr>
          <m:jc m:val="center"/>
        </m:oMathParaPr>
        <m:oMath>
          <m:r>
            <m:t>0.41</m:t>
          </m:r>
          <m:r>
            <m:t>×</m:t>
          </m:r>
          <m:r>
            <m:t>(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)</m:t>
          </m:r>
          <m:r>
            <m:t>≤</m:t>
          </m:r>
          <m:r>
            <m:t>2425000</m:t>
          </m:r>
          <m:r>
            <m:t>×</m:t>
          </m:r>
          <m:r>
            <m:t>0.2</m:t>
          </m:r>
        </m:oMath>
      </m:oMathPara>
    </w:p>
    <w:p>
      <w:pPr>
        <w:pStyle w:val="Heading1"/>
      </w:pPr>
      <w:bookmarkStart w:id="29" w:name="header-n190"/>
      <w:bookmarkEnd w:id="29"/>
      <w:r>
        <w:t xml:space="preserve">线性规划模型</w:t>
      </w:r>
    </w:p>
    <w:p>
      <w:pPr>
        <w:pStyle w:val="FirstParagraph"/>
      </w:pPr>
      <w:r>
        <w:t xml:space="preserve">统一以t为单位</w:t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=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700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265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325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r>
            <m:t>255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r>
            <m:t>180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r>
            <m:t>180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≤</m:t>
          </m:r>
          <m:r>
            <m:t>288000000000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3000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1650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3685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r>
            <m:t>6355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r>
            <m:t>8000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r>
            <m:t>5050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≤</m:t>
          </m:r>
          <m:r>
            <m:t>78969600000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1.9881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r>
            <m:t>4.4274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r>
            <m:t>4.4274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r>
            <m:t>4.7658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r>
            <m:t>3.2289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r>
            <m:t>0.4935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r>
            <m:t>1.9599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)</m:t>
          </m:r>
          <m:r>
            <m:t>≤</m:t>
          </m:r>
          <m:r>
            <m:t>806200000000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0.41</m:t>
          </m:r>
          <m:r>
            <m:t>×</m:t>
          </m:r>
          <m:r>
            <m:t>(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7</m:t>
              </m:r>
            </m:sub>
          </m:sSub>
          <m:r>
            <m:t>)</m:t>
          </m:r>
          <m:r>
            <m:t>≤</m:t>
          </m:r>
          <m:r>
            <m:t>485000</m:t>
          </m:r>
        </m:oMath>
      </m:oMathPara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5f48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data.stats.gov.cn/search.htm?s=2008&#24180;&#20013;&#22269;GDP" TargetMode="External" /><Relationship Type="http://schemas.openxmlformats.org/officeDocument/2006/relationships/hyperlink" Id="rId26" Target="http://data.stats.gov.cn/search.htm?s=&#38470;&#22320;&#27700;&#36164;&#28304;" TargetMode="External" /><Relationship Type="http://schemas.openxmlformats.org/officeDocument/2006/relationships/hyperlink" Id="rId24" Target="https://zh.wikipedia.org/w/index.php?title=&#20013;&#21326;&#20154;&#27665;&#20849;&#21644;&#22269;&#39046;&#22303;&#21464;&#21270;&amp;oldid=580600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data.stats.gov.cn/search.htm?s=2008&#24180;&#20013;&#22269;GDP" TargetMode="External" /><Relationship Type="http://schemas.openxmlformats.org/officeDocument/2006/relationships/hyperlink" Id="rId26" Target="http://data.stats.gov.cn/search.htm?s=&#38470;&#22320;&#27700;&#36164;&#28304;" TargetMode="External" /><Relationship Type="http://schemas.openxmlformats.org/officeDocument/2006/relationships/hyperlink" Id="rId24" Target="https://zh.wikipedia.org/w/index.php?title=&#20013;&#21326;&#20154;&#27665;&#20849;&#21644;&#22269;&#39046;&#22303;&#21464;&#21270;&amp;oldid=580600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2020-02-16T15:50:02Z</dcterms:created>
  <dcterms:modified xsi:type="dcterms:W3CDTF">2020-02-16T15:50:02Z</dcterms:modified>
</cp:coreProperties>
</file>