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r w:rsidR="008C6B4B">
        <w:t xml:space="preserve"> The results of this study show a strong relationship between the success of a film adaptation and the po</w:t>
      </w:r>
      <w:r w:rsidR="0075491B">
        <w:t xml:space="preserve">pularity and subject matter of </w:t>
      </w:r>
      <w:r w:rsidR="008C6B4B">
        <w:t>the book it was based upon.</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w:t>
      </w:r>
      <w:r w:rsidR="006517A2">
        <w:rPr>
          <w:rFonts w:eastAsia="Times New Roman"/>
        </w:rPr>
        <w:t>Output</w:t>
      </w:r>
      <w:r w:rsidR="000F22BC" w:rsidRPr="000F22BC">
        <w:rPr>
          <w:rFonts w:eastAsia="Times New Roman"/>
        </w:rPr>
        <w:t xml:space="preserve">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1B2DA1" w:rsidRDefault="001B2DA1" w:rsidP="00FE3A8B">
      <w:pPr>
        <w:pStyle w:val="BodyText"/>
        <w:spacing w:line="480" w:lineRule="auto"/>
      </w:pPr>
    </w:p>
    <w:p w:rsidR="001B2DA1" w:rsidRDefault="001B2DA1" w:rsidP="00FE3A8B">
      <w:pPr>
        <w:pStyle w:val="BodyText"/>
        <w:spacing w:line="480" w:lineRule="auto"/>
      </w:pPr>
    </w:p>
    <w:p w:rsidR="000F22BC" w:rsidRPr="00497511" w:rsidRDefault="000F22BC" w:rsidP="001B2DA1">
      <w:pPr>
        <w:pStyle w:val="BodyText"/>
        <w:spacing w:line="480" w:lineRule="auto"/>
      </w:pPr>
      <w:r>
        <w:t>Prediction models for forecasting the financial success of films is a common but difficult top</w:t>
      </w:r>
      <w:r w:rsidR="001B2DA1">
        <w:t xml:space="preserve">ic in statistics and artificial </w:t>
      </w: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rsidR="00D86642">
        <w:t>data.</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w:t>
      </w:r>
      <w:r>
        <w:rPr>
          <w:color w:val="000000"/>
        </w:rPr>
        <w:lastRenderedPageBreak/>
        <w:t xml:space="preserve">intention was to take into account multiple types of literature, 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w:t>
      </w:r>
      <w:r w:rsidR="00171016">
        <w:rPr>
          <w:color w:val="000000"/>
          <w:sz w:val="20"/>
          <w:szCs w:val="20"/>
        </w:rPr>
        <w:t xml:space="preserve">ne </w:t>
      </w:r>
      <w:r>
        <w:rPr>
          <w:color w:val="000000"/>
          <w:sz w:val="20"/>
          <w:szCs w:val="20"/>
        </w:rPr>
        <w:t>2015 issue of Time Magazine</w:t>
      </w:r>
      <w:r w:rsidR="00C57FDA">
        <w:rPr>
          <w:color w:val="000000"/>
          <w:sz w:val="20"/>
          <w:szCs w:val="20"/>
        </w:rPr>
        <w:t xml:space="preserve"> </w:t>
      </w:r>
      <w:r w:rsidR="00D16D8A">
        <w:rPr>
          <w:color w:val="000000"/>
          <w:sz w:val="20"/>
          <w:szCs w:val="20"/>
        </w:rPr>
        <w:fldChar w:fldCharType="begin"/>
      </w:r>
      <w:r w:rsidR="00C57FDA">
        <w:rPr>
          <w:color w:val="000000"/>
          <w:sz w:val="20"/>
          <w:szCs w:val="20"/>
        </w:rPr>
        <w:instrText xml:space="preserve"> REF _Ref437887206 \r \h </w:instrText>
      </w:r>
      <w:r w:rsidR="00D16D8A">
        <w:rPr>
          <w:color w:val="000000"/>
          <w:sz w:val="20"/>
          <w:szCs w:val="20"/>
        </w:rPr>
      </w:r>
      <w:r w:rsidR="00D16D8A">
        <w:rPr>
          <w:color w:val="000000"/>
          <w:sz w:val="20"/>
          <w:szCs w:val="20"/>
        </w:rPr>
        <w:fldChar w:fldCharType="separate"/>
      </w:r>
      <w:r w:rsidR="00FE1479">
        <w:rPr>
          <w:color w:val="000000"/>
          <w:sz w:val="20"/>
          <w:szCs w:val="20"/>
        </w:rPr>
        <w:t>[1]</w:t>
      </w:r>
      <w:r w:rsidR="00D16D8A">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Forecasting box office success is a popular research topic in statistics and artificial intelligence, with a variety of prediction models being employed</w:t>
      </w:r>
      <w:r w:rsidR="00594F25">
        <w:rPr>
          <w:color w:val="000000"/>
          <w:sz w:val="20"/>
          <w:szCs w:val="20"/>
        </w:rPr>
        <w:t xml:space="preserve"> [2-5]</w:t>
      </w:r>
      <w:r>
        <w:rPr>
          <w:color w:val="000000"/>
          <w:sz w:val="20"/>
          <w:szCs w:val="20"/>
        </w:rPr>
        <w:t>. Our study was largely based on two major sources: “Predicting box-office success of motion pictures with neural networks”</w:t>
      </w:r>
      <w:r w:rsidR="00594F25">
        <w:rPr>
          <w:color w:val="000000"/>
          <w:sz w:val="20"/>
          <w:szCs w:val="20"/>
        </w:rPr>
        <w:t xml:space="preserve"> </w:t>
      </w:r>
      <w:r w:rsidR="00D16D8A">
        <w:rPr>
          <w:color w:val="000000"/>
          <w:sz w:val="20"/>
          <w:szCs w:val="20"/>
        </w:rPr>
        <w:fldChar w:fldCharType="begin"/>
      </w:r>
      <w:r w:rsidR="005B1D43">
        <w:rPr>
          <w:color w:val="000000"/>
          <w:sz w:val="20"/>
          <w:szCs w:val="20"/>
        </w:rPr>
        <w:instrText xml:space="preserve"> REF _Ref437887792 \r \h </w:instrText>
      </w:r>
      <w:r w:rsidR="00D16D8A">
        <w:rPr>
          <w:color w:val="000000"/>
          <w:sz w:val="20"/>
          <w:szCs w:val="20"/>
        </w:rPr>
      </w:r>
      <w:r w:rsidR="00D16D8A">
        <w:rPr>
          <w:color w:val="000000"/>
          <w:sz w:val="20"/>
          <w:szCs w:val="20"/>
        </w:rPr>
        <w:fldChar w:fldCharType="separate"/>
      </w:r>
      <w:r w:rsidR="00FE1479">
        <w:rPr>
          <w:color w:val="000000"/>
          <w:sz w:val="20"/>
          <w:szCs w:val="20"/>
        </w:rPr>
        <w:t>[2]</w:t>
      </w:r>
      <w:r w:rsidR="00D16D8A">
        <w:rPr>
          <w:color w:val="000000"/>
          <w:sz w:val="20"/>
          <w:szCs w:val="20"/>
        </w:rPr>
        <w:fldChar w:fldCharType="end"/>
      </w:r>
      <w:r>
        <w:rPr>
          <w:color w:val="000000"/>
          <w:sz w:val="20"/>
          <w:szCs w:val="20"/>
        </w:rPr>
        <w:t>, and</w:t>
      </w:r>
      <w:r w:rsidR="00A514ED">
        <w:rPr>
          <w:color w:val="000000"/>
          <w:sz w:val="20"/>
          <w:szCs w:val="20"/>
        </w:rPr>
        <w:t xml:space="preserve"> </w:t>
      </w:r>
      <w:r>
        <w:rPr>
          <w:color w:val="000000"/>
          <w:sz w:val="20"/>
          <w:szCs w:val="20"/>
        </w:rPr>
        <w:t>“Forecasting box office success with BP</w:t>
      </w:r>
      <w:r w:rsidR="00C57FDA">
        <w:rPr>
          <w:color w:val="000000"/>
          <w:sz w:val="20"/>
          <w:szCs w:val="20"/>
        </w:rPr>
        <w:t xml:space="preserve"> neural networks”</w:t>
      </w:r>
      <w:r w:rsidR="00D16D8A">
        <w:rPr>
          <w:color w:val="000000"/>
          <w:sz w:val="20"/>
          <w:szCs w:val="20"/>
        </w:rPr>
        <w:fldChar w:fldCharType="begin"/>
      </w:r>
      <w:r w:rsidR="005B1D43">
        <w:rPr>
          <w:color w:val="000000"/>
          <w:sz w:val="20"/>
          <w:szCs w:val="20"/>
        </w:rPr>
        <w:instrText xml:space="preserve"> REF _Ref437864094 \r \h </w:instrText>
      </w:r>
      <w:r w:rsidR="00D16D8A">
        <w:rPr>
          <w:color w:val="000000"/>
          <w:sz w:val="20"/>
          <w:szCs w:val="20"/>
        </w:rPr>
      </w:r>
      <w:r w:rsidR="00D16D8A">
        <w:rPr>
          <w:color w:val="000000"/>
          <w:sz w:val="20"/>
          <w:szCs w:val="20"/>
        </w:rPr>
        <w:fldChar w:fldCharType="separate"/>
      </w:r>
      <w:r w:rsidR="00FE1479">
        <w:rPr>
          <w:color w:val="000000"/>
          <w:sz w:val="20"/>
          <w:szCs w:val="20"/>
        </w:rPr>
        <w:t>[3]</w:t>
      </w:r>
      <w:r w:rsidR="00D16D8A">
        <w:rPr>
          <w:color w:val="000000"/>
          <w:sz w:val="20"/>
          <w:szCs w:val="20"/>
        </w:rPr>
        <w:fldChar w:fldCharType="end"/>
      </w:r>
      <w:r>
        <w:rPr>
          <w:color w:val="000000"/>
          <w:sz w:val="20"/>
          <w:szCs w:val="20"/>
        </w:rPr>
        <w:t>. Both studies treated the prediction problem as a classifica</w:t>
      </w:r>
      <w:r w:rsidR="005B1D43">
        <w:rPr>
          <w:color w:val="000000"/>
          <w:sz w:val="20"/>
          <w:szCs w:val="20"/>
        </w:rPr>
        <w:t xml:space="preserve">tion problem </w:t>
      </w:r>
      <w:r w:rsidR="00D16D8A">
        <w:rPr>
          <w:color w:val="000000"/>
          <w:sz w:val="20"/>
          <w:szCs w:val="20"/>
        </w:rPr>
        <w:fldChar w:fldCharType="begin"/>
      </w:r>
      <w:r w:rsidR="005B1D43">
        <w:rPr>
          <w:color w:val="000000"/>
          <w:sz w:val="20"/>
          <w:szCs w:val="20"/>
        </w:rPr>
        <w:instrText xml:space="preserve"> REF _Ref437887792 \r \h </w:instrText>
      </w:r>
      <w:r w:rsidR="00D16D8A">
        <w:rPr>
          <w:color w:val="000000"/>
          <w:sz w:val="20"/>
          <w:szCs w:val="20"/>
        </w:rPr>
      </w:r>
      <w:r w:rsidR="00D16D8A">
        <w:rPr>
          <w:color w:val="000000"/>
          <w:sz w:val="20"/>
          <w:szCs w:val="20"/>
        </w:rPr>
        <w:fldChar w:fldCharType="separate"/>
      </w:r>
      <w:r w:rsidR="00FE1479">
        <w:rPr>
          <w:color w:val="000000"/>
          <w:sz w:val="20"/>
          <w:szCs w:val="20"/>
        </w:rPr>
        <w:t>[2]</w:t>
      </w:r>
      <w:r w:rsidR="00D16D8A">
        <w:rPr>
          <w:color w:val="000000"/>
          <w:sz w:val="20"/>
          <w:szCs w:val="20"/>
        </w:rPr>
        <w:fldChar w:fldCharType="end"/>
      </w:r>
      <w:r w:rsidR="00331E84">
        <w:rPr>
          <w:color w:val="000000"/>
          <w:sz w:val="20"/>
          <w:szCs w:val="20"/>
        </w:rPr>
        <w:t>,</w:t>
      </w:r>
      <w:r>
        <w:rPr>
          <w:color w:val="000000"/>
          <w:sz w:val="20"/>
          <w:szCs w:val="20"/>
        </w:rPr>
        <w:t xml:space="preserve">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w:t>
      </w:r>
      <w:r>
        <w:rPr>
          <w:color w:val="000000"/>
          <w:sz w:val="20"/>
          <w:szCs w:val="20"/>
        </w:rPr>
        <w:lastRenderedPageBreak/>
        <w:t>(and thus 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w:t>
      </w:r>
      <w:proofErr w:type="spellStart"/>
      <w:r w:rsidR="008D3899">
        <w:rPr>
          <w:color w:val="000000"/>
          <w:sz w:val="20"/>
          <w:szCs w:val="20"/>
        </w:rPr>
        <w:t>multioutput</w:t>
      </w:r>
      <w:proofErr w:type="spellEnd"/>
      <w:r w:rsidR="008D3899">
        <w:rPr>
          <w:color w:val="000000"/>
          <w:sz w:val="20"/>
          <w:szCs w:val="20"/>
        </w:rPr>
        <w:t>-multiclass</w:t>
      </w:r>
      <w:r w:rsidRPr="000F22BC">
        <w:rPr>
          <w:color w:val="000000"/>
          <w:sz w:val="20"/>
          <w:szCs w:val="20"/>
        </w:rPr>
        <w:t xml:space="preserve"> approach to classification</w:t>
      </w:r>
      <w:r w:rsidR="00AD04B9">
        <w:rPr>
          <w:color w:val="000000"/>
          <w:sz w:val="20"/>
          <w:szCs w:val="20"/>
        </w:rPr>
        <w:t xml:space="preserve"> </w:t>
      </w:r>
      <w:r w:rsidR="00AD04B9">
        <w:rPr>
          <w:color w:val="000000"/>
          <w:sz w:val="20"/>
          <w:szCs w:val="20"/>
        </w:rPr>
        <w:fldChar w:fldCharType="begin"/>
      </w:r>
      <w:r w:rsidR="00AD04B9">
        <w:rPr>
          <w:color w:val="000000"/>
          <w:sz w:val="20"/>
          <w:szCs w:val="20"/>
        </w:rPr>
        <w:instrText xml:space="preserve"> REF _Ref437892738 \r \h </w:instrText>
      </w:r>
      <w:r w:rsidR="00AD04B9">
        <w:rPr>
          <w:color w:val="000000"/>
          <w:sz w:val="20"/>
          <w:szCs w:val="20"/>
        </w:rPr>
      </w:r>
      <w:r w:rsidR="00AD04B9">
        <w:rPr>
          <w:color w:val="000000"/>
          <w:sz w:val="20"/>
          <w:szCs w:val="20"/>
        </w:rPr>
        <w:fldChar w:fldCharType="separate"/>
      </w:r>
      <w:r w:rsidR="00FE1479">
        <w:rPr>
          <w:color w:val="000000"/>
          <w:sz w:val="20"/>
          <w:szCs w:val="20"/>
        </w:rPr>
        <w:t>[6]</w:t>
      </w:r>
      <w:r w:rsidR="00AD04B9">
        <w:rPr>
          <w:color w:val="000000"/>
          <w:sz w:val="20"/>
          <w:szCs w:val="20"/>
        </w:rPr>
        <w:fldChar w:fldCharType="end"/>
      </w:r>
      <w:r w:rsidR="008D3899">
        <w:rPr>
          <w:color w:val="000000"/>
          <w:sz w:val="20"/>
          <w:szCs w:val="20"/>
        </w:rPr>
        <w:t>.</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 xml:space="preserve">This study required two major endeavors, training data acquisition followed by data classification through supervised learning by an ANN. In order to gather data on appropriate books and movies, a list of books and their film adaptations was </w:t>
      </w:r>
      <w:r>
        <w:rPr>
          <w:color w:val="000000"/>
          <w:sz w:val="20"/>
          <w:szCs w:val="20"/>
        </w:rPr>
        <w:lastRenderedPageBreak/>
        <w:t>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 xml:space="preserve">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w:t>
      </w:r>
      <w:r w:rsidR="00D0046A">
        <w:rPr>
          <w:color w:val="000000"/>
          <w:sz w:val="20"/>
          <w:szCs w:val="20"/>
        </w:rPr>
        <w:t>CSV</w:t>
      </w:r>
      <w:r>
        <w:rPr>
          <w:color w:val="000000"/>
          <w:sz w:val="20"/>
          <w:szCs w:val="20"/>
        </w:rPr>
        <w:t xml:space="preserve"> file and manually proofread for erroneous or ambiguous data. This Book-to-Movie Index File</w:t>
      </w:r>
      <w:r w:rsidR="00BA3871">
        <w:rPr>
          <w:rStyle w:val="FootnoteReference"/>
          <w:color w:val="000000"/>
          <w:sz w:val="20"/>
          <w:szCs w:val="20"/>
        </w:rPr>
        <w:footnoteReference w:id="3"/>
      </w:r>
      <w:r>
        <w:rPr>
          <w:color w:val="000000"/>
          <w:sz w:val="20"/>
          <w:szCs w:val="20"/>
        </w:rPr>
        <w:t xml:space="preserv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xml:space="preserve">,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w:t>
      </w:r>
      <w:r>
        <w:rPr>
          <w:color w:val="000000"/>
        </w:rPr>
        <w:lastRenderedPageBreak/>
        <w:t>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w:t>
      </w:r>
      <w:r w:rsidR="00336915">
        <w:rPr>
          <w:color w:val="000000"/>
          <w:sz w:val="20"/>
          <w:szCs w:val="20"/>
        </w:rPr>
        <w:t xml:space="preserve"> </w:t>
      </w:r>
      <w:r w:rsidR="00AD04B9">
        <w:rPr>
          <w:color w:val="000000"/>
          <w:sz w:val="20"/>
          <w:szCs w:val="20"/>
        </w:rPr>
        <w:fldChar w:fldCharType="begin"/>
      </w:r>
      <w:r w:rsidR="00AD04B9">
        <w:rPr>
          <w:color w:val="000000"/>
          <w:sz w:val="20"/>
          <w:szCs w:val="20"/>
        </w:rPr>
        <w:instrText xml:space="preserve"> REF _Ref437888944 \r \h </w:instrText>
      </w:r>
      <w:r w:rsidR="00AD04B9">
        <w:rPr>
          <w:color w:val="000000"/>
          <w:sz w:val="20"/>
          <w:szCs w:val="20"/>
        </w:rPr>
      </w:r>
      <w:r w:rsidR="00AD04B9">
        <w:rPr>
          <w:color w:val="000000"/>
          <w:sz w:val="20"/>
          <w:szCs w:val="20"/>
        </w:rPr>
        <w:fldChar w:fldCharType="separate"/>
      </w:r>
      <w:r w:rsidR="00FE1479">
        <w:rPr>
          <w:color w:val="000000"/>
          <w:sz w:val="20"/>
          <w:szCs w:val="20"/>
        </w:rPr>
        <w:t>[11]</w:t>
      </w:r>
      <w:r w:rsidR="00AD04B9">
        <w:rPr>
          <w:color w:val="000000"/>
          <w:sz w:val="20"/>
          <w:szCs w:val="20"/>
        </w:rPr>
        <w:fldChar w:fldCharType="end"/>
      </w:r>
      <w:r>
        <w:rPr>
          <w:color w:val="000000"/>
          <w:sz w:val="20"/>
          <w:szCs w:val="20"/>
        </w:rPr>
        <w:t xml:space="preserve"> product web pages </w:t>
      </w:r>
      <w:r w:rsidR="00C36B34">
        <w:rPr>
          <w:color w:val="000000"/>
          <w:sz w:val="20"/>
          <w:szCs w:val="20"/>
        </w:rPr>
        <w:t>via web scraping. Unfortunately, there is no Amazon.com API that provides all the desired</w:t>
      </w:r>
      <w:r>
        <w:rPr>
          <w:color w:val="000000"/>
          <w:sz w:val="20"/>
          <w:szCs w:val="20"/>
        </w:rPr>
        <w:t xml:space="preserve"> categories of the input da</w:t>
      </w:r>
      <w:r w:rsidR="00034838">
        <w:rPr>
          <w:color w:val="000000"/>
          <w:sz w:val="20"/>
          <w:szCs w:val="20"/>
        </w:rPr>
        <w:t>ta</w:t>
      </w:r>
      <w:r w:rsidR="00C36B34">
        <w:rPr>
          <w:color w:val="000000"/>
          <w:sz w:val="20"/>
          <w:szCs w:val="20"/>
        </w:rPr>
        <w:t xml:space="preserve">, so </w:t>
      </w:r>
      <w:r w:rsidR="00034838">
        <w:rPr>
          <w:color w:val="000000"/>
          <w:sz w:val="20"/>
          <w:szCs w:val="20"/>
        </w:rPr>
        <w:t>custom Java web scrapers</w:t>
      </w:r>
      <w:r w:rsidR="00034838">
        <w:rPr>
          <w:rStyle w:val="FootnoteReference"/>
          <w:color w:val="000000"/>
          <w:sz w:val="20"/>
          <w:szCs w:val="20"/>
        </w:rPr>
        <w:footnoteReference w:id="4"/>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w:t>
      </w:r>
      <w:r w:rsidR="00B73803">
        <w:rPr>
          <w:color w:val="000000"/>
          <w:sz w:val="20"/>
          <w:szCs w:val="20"/>
        </w:rPr>
        <w:t>CSV</w:t>
      </w:r>
      <w:r>
        <w:rPr>
          <w:color w:val="000000"/>
          <w:sz w:val="20"/>
          <w:szCs w:val="20"/>
        </w:rPr>
        <w:t xml:space="preserve"> file. </w:t>
      </w:r>
    </w:p>
    <w:p w:rsidR="000F22BC" w:rsidRDefault="000F22BC" w:rsidP="00F87443">
      <w:pPr>
        <w:pStyle w:val="BodyText"/>
        <w:spacing w:line="480" w:lineRule="auto"/>
        <w:rPr>
          <w:color w:val="000000"/>
        </w:rPr>
      </w:pPr>
      <w:r>
        <w:rPr>
          <w:color w:val="000000"/>
        </w:rPr>
        <w:t xml:space="preserve">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w:t>
      </w:r>
      <w:r>
        <w:rPr>
          <w:color w:val="000000"/>
        </w:rPr>
        <w:lastRenderedPageBreak/>
        <w:t>eliminate any books and movies that were present in one list, but not the other. The resulting list of 505 books, movies, and associated data from this final comparison was ultimately used as the Datase</w:t>
      </w:r>
      <w:r w:rsidR="00C57FDA">
        <w:rPr>
          <w:color w:val="000000"/>
        </w:rPr>
        <w:t>t</w:t>
      </w:r>
      <w:r w:rsidR="00C57FDA">
        <w:rPr>
          <w:rStyle w:val="FootnoteReference"/>
          <w:color w:val="000000"/>
        </w:rPr>
        <w:footnoteReference w:id="5"/>
      </w:r>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EB5F01">
        <w:t>Representation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w:t>
      </w:r>
      <w:r w:rsidR="00BC6860">
        <w:rPr>
          <w:color w:val="000000"/>
          <w:sz w:val="20"/>
          <w:szCs w:val="20"/>
        </w:rPr>
        <w:t xml:space="preserve"> representing classes for this category</w:t>
      </w:r>
      <w:r>
        <w:rPr>
          <w:color w:val="000000"/>
          <w:sz w:val="20"/>
          <w:szCs w:val="20"/>
        </w:rPr>
        <w:t xml:space="preserve">.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D16D8A">
        <w:rPr>
          <w:color w:val="000000"/>
          <w:sz w:val="20"/>
          <w:szCs w:val="20"/>
        </w:rPr>
        <w:fldChar w:fldCharType="begin"/>
      </w:r>
      <w:r w:rsidR="00FC1ABB">
        <w:rPr>
          <w:color w:val="000000"/>
          <w:sz w:val="20"/>
          <w:szCs w:val="20"/>
        </w:rPr>
        <w:instrText xml:space="preserve"> REF _Ref437864699 </w:instrText>
      </w:r>
      <w:r w:rsidR="00D16D8A">
        <w:rPr>
          <w:color w:val="000000"/>
          <w:sz w:val="20"/>
          <w:szCs w:val="20"/>
        </w:rPr>
        <w:fldChar w:fldCharType="separate"/>
      </w:r>
      <w:r w:rsidR="00FE1479" w:rsidRPr="00495F91">
        <w:rPr>
          <w:i/>
          <w:sz w:val="20"/>
          <w:szCs w:val="20"/>
        </w:rPr>
        <w:t xml:space="preserve">Table </w:t>
      </w:r>
      <w:r w:rsidR="00FE1479">
        <w:rPr>
          <w:i/>
          <w:noProof/>
          <w:sz w:val="20"/>
          <w:szCs w:val="20"/>
        </w:rPr>
        <w:t>1</w:t>
      </w:r>
      <w:r w:rsidR="00D16D8A">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0" w:name="_Ref437864699"/>
      <w:r w:rsidRPr="00495F91">
        <w:rPr>
          <w:i w:val="0"/>
          <w:sz w:val="20"/>
          <w:szCs w:val="20"/>
        </w:rPr>
        <w:t xml:space="preserve">Table </w:t>
      </w:r>
      <w:r w:rsidR="00D16D8A" w:rsidRPr="00495F91">
        <w:rPr>
          <w:i w:val="0"/>
          <w:sz w:val="20"/>
          <w:szCs w:val="20"/>
        </w:rPr>
        <w:fldChar w:fldCharType="begin"/>
      </w:r>
      <w:r w:rsidRPr="00495F91">
        <w:rPr>
          <w:i w:val="0"/>
          <w:sz w:val="20"/>
          <w:szCs w:val="20"/>
        </w:rPr>
        <w:instrText xml:space="preserve"> SEQ Table \* ARABIC </w:instrText>
      </w:r>
      <w:r w:rsidR="00D16D8A" w:rsidRPr="00495F91">
        <w:rPr>
          <w:i w:val="0"/>
          <w:sz w:val="20"/>
          <w:szCs w:val="20"/>
        </w:rPr>
        <w:fldChar w:fldCharType="separate"/>
      </w:r>
      <w:r w:rsidR="00FE1479">
        <w:rPr>
          <w:i w:val="0"/>
          <w:noProof/>
          <w:sz w:val="20"/>
          <w:szCs w:val="20"/>
        </w:rPr>
        <w:t>1</w:t>
      </w:r>
      <w:r w:rsidR="00D16D8A" w:rsidRPr="00495F91">
        <w:rPr>
          <w:i w:val="0"/>
          <w:sz w:val="20"/>
          <w:szCs w:val="20"/>
        </w:rPr>
        <w:fldChar w:fldCharType="end"/>
      </w:r>
      <w:bookmarkEnd w:id="0"/>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w:t>
      </w:r>
      <w:r w:rsidR="00BC6860">
        <w:rPr>
          <w:color w:val="000000"/>
          <w:sz w:val="20"/>
          <w:szCs w:val="20"/>
        </w:rPr>
        <w:t xml:space="preserve"> representing classes for this category</w:t>
      </w:r>
      <w:r w:rsidR="007B78EE">
        <w:rPr>
          <w:color w:val="000000"/>
          <w:sz w:val="20"/>
          <w:szCs w:val="20"/>
        </w:rPr>
        <w:t>. These fifteen inputs represent ranges of a logari</w:t>
      </w:r>
      <w:r w:rsidR="006A311A">
        <w:rPr>
          <w:color w:val="000000"/>
          <w:sz w:val="20"/>
          <w:szCs w:val="20"/>
        </w:rPr>
        <w:t>thmic scale as indicated in</w:t>
      </w:r>
      <w:r w:rsidR="007923D9">
        <w:rPr>
          <w:color w:val="000000"/>
          <w:sz w:val="20"/>
          <w:szCs w:val="20"/>
        </w:rPr>
        <w:t xml:space="preserve"> </w:t>
      </w:r>
      <w:r w:rsidR="00D16D8A">
        <w:rPr>
          <w:color w:val="000000"/>
          <w:sz w:val="20"/>
          <w:szCs w:val="20"/>
        </w:rPr>
        <w:fldChar w:fldCharType="begin"/>
      </w:r>
      <w:r w:rsidR="00C00290">
        <w:rPr>
          <w:color w:val="000000"/>
          <w:sz w:val="20"/>
          <w:szCs w:val="20"/>
        </w:rPr>
        <w:instrText xml:space="preserve"> REF _Ref437874841 </w:instrText>
      </w:r>
      <w:r w:rsidR="00D16D8A">
        <w:rPr>
          <w:color w:val="000000"/>
          <w:sz w:val="20"/>
          <w:szCs w:val="20"/>
        </w:rPr>
        <w:fldChar w:fldCharType="separate"/>
      </w:r>
      <w:r w:rsidR="00FE1479" w:rsidRPr="007923D9">
        <w:rPr>
          <w:i/>
          <w:sz w:val="20"/>
          <w:szCs w:val="20"/>
        </w:rPr>
        <w:t xml:space="preserve">Formula </w:t>
      </w:r>
      <w:r w:rsidR="00FE1479">
        <w:rPr>
          <w:i/>
          <w:noProof/>
          <w:sz w:val="20"/>
          <w:szCs w:val="20"/>
        </w:rPr>
        <w:t>1</w:t>
      </w:r>
      <w:r w:rsidR="00D16D8A">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D16D8A">
        <w:rPr>
          <w:color w:val="000000"/>
          <w:sz w:val="20"/>
          <w:szCs w:val="20"/>
        </w:rPr>
        <w:fldChar w:fldCharType="begin"/>
      </w:r>
      <w:r w:rsidR="00C00290">
        <w:rPr>
          <w:color w:val="000000"/>
          <w:sz w:val="20"/>
          <w:szCs w:val="20"/>
        </w:rPr>
        <w:instrText xml:space="preserve"> REF _Ref437874841 </w:instrText>
      </w:r>
      <w:r w:rsidR="00D16D8A">
        <w:rPr>
          <w:color w:val="000000"/>
          <w:sz w:val="20"/>
          <w:szCs w:val="20"/>
        </w:rPr>
        <w:fldChar w:fldCharType="separate"/>
      </w:r>
      <w:r w:rsidR="00FE1479" w:rsidRPr="007923D9">
        <w:rPr>
          <w:i/>
          <w:sz w:val="20"/>
          <w:szCs w:val="20"/>
        </w:rPr>
        <w:t xml:space="preserve">Formula </w:t>
      </w:r>
      <w:r w:rsidR="00FE1479">
        <w:rPr>
          <w:i/>
          <w:noProof/>
          <w:sz w:val="20"/>
          <w:szCs w:val="20"/>
        </w:rPr>
        <w:t>1</w:t>
      </w:r>
      <w:r w:rsidR="00D16D8A">
        <w:rPr>
          <w:color w:val="000000"/>
          <w:sz w:val="20"/>
          <w:szCs w:val="20"/>
        </w:rPr>
        <w:fldChar w:fldCharType="end"/>
      </w:r>
      <w:r w:rsidR="00C00290">
        <w:rPr>
          <w:color w:val="000000"/>
          <w:sz w:val="20"/>
          <w:szCs w:val="20"/>
        </w:rPr>
        <w:t xml:space="preserve"> </w:t>
      </w:r>
      <w:r w:rsidR="007B78EE">
        <w:rPr>
          <w:color w:val="000000"/>
          <w:sz w:val="20"/>
          <w:szCs w:val="20"/>
        </w:rPr>
        <w:t xml:space="preserve">to indicate </w:t>
      </w:r>
      <w:r w:rsidR="007B78EE">
        <w:rPr>
          <w:color w:val="000000"/>
          <w:sz w:val="20"/>
          <w:szCs w:val="20"/>
        </w:rPr>
        <w:lastRenderedPageBreak/>
        <w:t xml:space="preserve">which </w:t>
      </w:r>
      <w:r w:rsidR="003D252E">
        <w:rPr>
          <w:color w:val="000000"/>
          <w:sz w:val="20"/>
          <w:szCs w:val="20"/>
        </w:rPr>
        <w:t>class</w:t>
      </w:r>
      <w:r w:rsidR="007B78EE">
        <w:rPr>
          <w:color w:val="000000"/>
          <w:sz w:val="20"/>
          <w:szCs w:val="20"/>
        </w:rPr>
        <w:t xml:space="preserve">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1" w:name="_Ref437874841"/>
      <w:r w:rsidRPr="007923D9">
        <w:rPr>
          <w:i w:val="0"/>
          <w:sz w:val="20"/>
          <w:szCs w:val="20"/>
        </w:rPr>
        <w:t xml:space="preserve">Formula </w:t>
      </w:r>
      <w:r w:rsidR="00D16D8A" w:rsidRPr="007923D9">
        <w:rPr>
          <w:i w:val="0"/>
          <w:sz w:val="20"/>
          <w:szCs w:val="20"/>
        </w:rPr>
        <w:fldChar w:fldCharType="begin"/>
      </w:r>
      <w:r w:rsidRPr="007923D9">
        <w:rPr>
          <w:i w:val="0"/>
          <w:sz w:val="20"/>
          <w:szCs w:val="20"/>
        </w:rPr>
        <w:instrText xml:space="preserve"> SEQ Formula \* ARABIC </w:instrText>
      </w:r>
      <w:r w:rsidR="00D16D8A" w:rsidRPr="007923D9">
        <w:rPr>
          <w:i w:val="0"/>
          <w:sz w:val="20"/>
          <w:szCs w:val="20"/>
        </w:rPr>
        <w:fldChar w:fldCharType="separate"/>
      </w:r>
      <w:r w:rsidR="00FE1479">
        <w:rPr>
          <w:i w:val="0"/>
          <w:noProof/>
          <w:sz w:val="20"/>
          <w:szCs w:val="20"/>
        </w:rPr>
        <w:t>1</w:t>
      </w:r>
      <w:r w:rsidR="00D16D8A" w:rsidRPr="007923D9">
        <w:rPr>
          <w:i w:val="0"/>
          <w:sz w:val="20"/>
          <w:szCs w:val="20"/>
        </w:rPr>
        <w:fldChar w:fldCharType="end"/>
      </w:r>
      <w:bookmarkEnd w:id="1"/>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The Age Group for a book is represented with three mutually-exclusive binary inputs</w:t>
      </w:r>
      <w:r w:rsidR="00BC6860">
        <w:rPr>
          <w:color w:val="000000"/>
          <w:sz w:val="20"/>
          <w:szCs w:val="20"/>
        </w:rPr>
        <w:t xml:space="preserve"> representing classes of this category</w:t>
      </w:r>
      <w:r>
        <w:rPr>
          <w:color w:val="000000"/>
          <w:sz w:val="20"/>
          <w:szCs w:val="20"/>
        </w:rPr>
        <w:t>. These three inputs represent one of either Child, Teen, or Adult literature. Amazon's book description and book bestseller categorization is used to determine if a book belongs in Child or Teen literature, otherwise it is considered Adult literature.</w:t>
      </w:r>
    </w:p>
    <w:p w:rsidR="00C57FDA" w:rsidRDefault="00C57FDA"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2711"/>
        <w:gridCol w:w="2711"/>
      </w:tblGrid>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Keyword</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“sci-fi”</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“crime”</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“classic”</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“adventure”</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“comedy”</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“mystery”</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“fantasy”</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“romance”</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“tragedy”</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“wizard”</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“drama”</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“satire”</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“tech”</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“vampire”</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“history”</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“myth”</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“western”</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“space”</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“animal”</w:t>
            </w:r>
          </w:p>
        </w:tc>
      </w:tr>
      <w:tr w:rsidR="00C57FDA" w:rsidTr="00AD04B9">
        <w:trPr>
          <w:jc w:val="center"/>
        </w:trPr>
        <w:tc>
          <w:tcPr>
            <w:tcW w:w="2711" w:type="dxa"/>
          </w:tcPr>
          <w:p w:rsidR="00C57FDA" w:rsidRDefault="00C57FDA" w:rsidP="00AD04B9">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C57FDA" w:rsidRDefault="00C57FDA" w:rsidP="00C57FDA">
            <w:pPr>
              <w:pStyle w:val="NormalWeb"/>
              <w:keepNext/>
              <w:spacing w:before="0" w:beforeAutospacing="0" w:after="0" w:afterAutospacing="0"/>
              <w:jc w:val="center"/>
              <w:rPr>
                <w:color w:val="000000"/>
                <w:sz w:val="20"/>
                <w:szCs w:val="20"/>
              </w:rPr>
            </w:pPr>
            <w:r>
              <w:rPr>
                <w:color w:val="000000"/>
                <w:sz w:val="20"/>
                <w:szCs w:val="20"/>
              </w:rPr>
              <w:t>“voyage”</w:t>
            </w:r>
          </w:p>
        </w:tc>
      </w:tr>
    </w:tbl>
    <w:p w:rsidR="00C57FDA" w:rsidRDefault="00C57FDA" w:rsidP="00C57FDA">
      <w:pPr>
        <w:pStyle w:val="Caption"/>
        <w:rPr>
          <w:i w:val="0"/>
          <w:sz w:val="20"/>
          <w:szCs w:val="20"/>
        </w:rPr>
      </w:pPr>
      <w:bookmarkStart w:id="2" w:name="_Ref437887549"/>
      <w:r w:rsidRPr="002D206E">
        <w:rPr>
          <w:i w:val="0"/>
          <w:sz w:val="20"/>
          <w:szCs w:val="20"/>
        </w:rPr>
        <w:t xml:space="preserve">Table </w:t>
      </w:r>
      <w:r w:rsidR="00D16D8A" w:rsidRPr="002D206E">
        <w:rPr>
          <w:i w:val="0"/>
          <w:sz w:val="20"/>
          <w:szCs w:val="20"/>
        </w:rPr>
        <w:fldChar w:fldCharType="begin"/>
      </w:r>
      <w:r w:rsidRPr="002D206E">
        <w:rPr>
          <w:i w:val="0"/>
          <w:sz w:val="20"/>
          <w:szCs w:val="20"/>
        </w:rPr>
        <w:instrText xml:space="preserve"> SEQ Table \* ARABIC </w:instrText>
      </w:r>
      <w:r w:rsidR="00D16D8A" w:rsidRPr="002D206E">
        <w:rPr>
          <w:i w:val="0"/>
          <w:sz w:val="20"/>
          <w:szCs w:val="20"/>
        </w:rPr>
        <w:fldChar w:fldCharType="separate"/>
      </w:r>
      <w:r w:rsidR="00FE1479">
        <w:rPr>
          <w:i w:val="0"/>
          <w:noProof/>
          <w:sz w:val="20"/>
          <w:szCs w:val="20"/>
        </w:rPr>
        <w:t>2</w:t>
      </w:r>
      <w:r w:rsidR="00D16D8A" w:rsidRPr="002D206E">
        <w:rPr>
          <w:i w:val="0"/>
          <w:sz w:val="20"/>
          <w:szCs w:val="20"/>
        </w:rPr>
        <w:fldChar w:fldCharType="end"/>
      </w:r>
      <w:bookmarkEnd w:id="2"/>
      <w:r w:rsidRPr="002D206E">
        <w:rPr>
          <w:i w:val="0"/>
          <w:sz w:val="20"/>
          <w:szCs w:val="20"/>
        </w:rPr>
        <w:t>:</w:t>
      </w:r>
      <w:r w:rsidRPr="00C57FDA">
        <w:rPr>
          <w:sz w:val="20"/>
          <w:szCs w:val="20"/>
        </w:rPr>
        <w:t xml:space="preserve"> </w:t>
      </w:r>
      <w:r w:rsidRPr="00C57FDA">
        <w:rPr>
          <w:i w:val="0"/>
          <w:sz w:val="20"/>
          <w:szCs w:val="20"/>
        </w:rPr>
        <w:t>Keyword Binary Index Table</w:t>
      </w:r>
    </w:p>
    <w:p w:rsidR="00C57FDA" w:rsidRPr="005930E4" w:rsidRDefault="00C57FDA" w:rsidP="00C57FDA">
      <w:pPr>
        <w:pStyle w:val="Caption"/>
        <w:rPr>
          <w:i w:val="0"/>
          <w:sz w:val="20"/>
          <w:szCs w:val="20"/>
        </w:rPr>
      </w:pPr>
    </w:p>
    <w:p w:rsidR="00EC36BB" w:rsidRPr="00C57FDA" w:rsidRDefault="007B78EE" w:rsidP="00C57FDA">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fldSimple w:instr=" REF _Ref437887549 \h  \* MERGEFORMAT ">
        <w:r w:rsidR="00FE1479" w:rsidRPr="002D206E">
          <w:rPr>
            <w:i/>
            <w:sz w:val="20"/>
            <w:szCs w:val="20"/>
          </w:rPr>
          <w:t xml:space="preserve">Table </w:t>
        </w:r>
        <w:r w:rsidR="00FE1479">
          <w:rPr>
            <w:i/>
            <w:noProof/>
            <w:sz w:val="20"/>
            <w:szCs w:val="20"/>
          </w:rPr>
          <w:t>2</w:t>
        </w:r>
      </w:fldSimple>
      <w:r w:rsidR="009E7CF4">
        <w:rPr>
          <w:color w:val="000000"/>
          <w:sz w:val="20"/>
          <w:szCs w:val="20"/>
        </w:rPr>
        <w:t xml:space="preserve"> </w:t>
      </w:r>
      <w:r>
        <w:rPr>
          <w:color w:val="000000"/>
          <w:sz w:val="20"/>
          <w:szCs w:val="20"/>
        </w:rPr>
        <w:lastRenderedPageBreak/>
        <w:t>that are present in Amazon's book description and book bestseller categorization.</w:t>
      </w:r>
    </w:p>
    <w:p w:rsidR="007B78EE" w:rsidRPr="00497511" w:rsidRDefault="007B78EE" w:rsidP="00FE3A8B">
      <w:pPr>
        <w:pStyle w:val="Heading2"/>
        <w:spacing w:line="480" w:lineRule="auto"/>
      </w:pPr>
      <w:r>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w:t>
      </w:r>
      <w:r w:rsidR="001E5F3A">
        <w:rPr>
          <w:color w:val="000000"/>
          <w:sz w:val="20"/>
          <w:szCs w:val="20"/>
        </w:rPr>
        <w:t xml:space="preserve">output </w:t>
      </w:r>
      <w:r>
        <w:rPr>
          <w:color w:val="000000"/>
          <w:sz w:val="20"/>
          <w:szCs w:val="20"/>
        </w:rPr>
        <w:t>classification problem, rather than predicting only a single target output</w:t>
      </w:r>
      <w:r w:rsidR="00FE1479">
        <w:rPr>
          <w:color w:val="000000"/>
          <w:sz w:val="20"/>
          <w:szCs w:val="20"/>
        </w:rPr>
        <w:t xml:space="preserve"> </w:t>
      </w:r>
      <w:r w:rsidR="00FE1479">
        <w:rPr>
          <w:color w:val="000000"/>
          <w:sz w:val="20"/>
          <w:szCs w:val="20"/>
        </w:rPr>
        <w:fldChar w:fldCharType="begin"/>
      </w:r>
      <w:r w:rsidR="00FE1479">
        <w:rPr>
          <w:color w:val="000000"/>
          <w:sz w:val="20"/>
          <w:szCs w:val="20"/>
        </w:rPr>
        <w:instrText xml:space="preserve"> REF _Ref437892738 \r \h </w:instrText>
      </w:r>
      <w:r w:rsidR="00FE1479">
        <w:rPr>
          <w:color w:val="000000"/>
          <w:sz w:val="20"/>
          <w:szCs w:val="20"/>
        </w:rPr>
      </w:r>
      <w:r w:rsidR="00FE1479">
        <w:rPr>
          <w:color w:val="000000"/>
          <w:sz w:val="20"/>
          <w:szCs w:val="20"/>
        </w:rPr>
        <w:fldChar w:fldCharType="separate"/>
      </w:r>
      <w:r w:rsidR="00FE1479">
        <w:rPr>
          <w:color w:val="000000"/>
          <w:sz w:val="20"/>
          <w:szCs w:val="20"/>
        </w:rPr>
        <w:t>[6]</w:t>
      </w:r>
      <w:r w:rsidR="00FE1479">
        <w:rPr>
          <w:color w:val="000000"/>
          <w:sz w:val="20"/>
          <w:szCs w:val="20"/>
        </w:rPr>
        <w:fldChar w:fldCharType="end"/>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w:t>
      </w:r>
      <w:r>
        <w:rPr>
          <w:color w:val="000000"/>
          <w:sz w:val="20"/>
          <w:szCs w:val="20"/>
        </w:rPr>
        <w:lastRenderedPageBreak/>
        <w:t>book should be adapted into a film. For a filmmaker, predicting gross revenue alone may not be a full indicator of the financial 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w:t>
      </w:r>
      <w:r w:rsidR="00E811DF">
        <w:rPr>
          <w:color w:val="000000"/>
          <w:sz w:val="20"/>
          <w:szCs w:val="20"/>
        </w:rPr>
        <w:t xml:space="preserve"> </w:t>
      </w:r>
      <w:r w:rsidR="00731B04">
        <w:rPr>
          <w:color w:val="000000"/>
          <w:sz w:val="20"/>
          <w:szCs w:val="20"/>
        </w:rPr>
        <w:t xml:space="preserve"> </w:t>
      </w:r>
      <w:r w:rsidR="00AD04B9">
        <w:rPr>
          <w:color w:val="000000"/>
          <w:sz w:val="20"/>
          <w:szCs w:val="20"/>
        </w:rPr>
        <w:fldChar w:fldCharType="begin"/>
      </w:r>
      <w:r w:rsidR="00AD04B9">
        <w:rPr>
          <w:color w:val="000000"/>
          <w:sz w:val="20"/>
          <w:szCs w:val="20"/>
        </w:rPr>
        <w:instrText xml:space="preserve"> REF _Ref437869298 \r \h </w:instrText>
      </w:r>
      <w:r w:rsidR="00AD04B9">
        <w:rPr>
          <w:color w:val="000000"/>
          <w:sz w:val="20"/>
          <w:szCs w:val="20"/>
        </w:rPr>
      </w:r>
      <w:r w:rsidR="00AD04B9">
        <w:rPr>
          <w:color w:val="000000"/>
          <w:sz w:val="20"/>
          <w:szCs w:val="20"/>
        </w:rPr>
        <w:fldChar w:fldCharType="separate"/>
      </w:r>
      <w:r w:rsidR="00FE1479">
        <w:rPr>
          <w:color w:val="000000"/>
          <w:sz w:val="20"/>
          <w:szCs w:val="20"/>
        </w:rPr>
        <w:t>[12]</w:t>
      </w:r>
      <w:r w:rsidR="00AD04B9">
        <w:rPr>
          <w:color w:val="000000"/>
          <w:sz w:val="20"/>
          <w:szCs w:val="20"/>
        </w:rPr>
        <w:fldChar w:fldCharType="end"/>
      </w:r>
      <w:r>
        <w:rPr>
          <w:color w:val="000000"/>
          <w:sz w:val="20"/>
          <w:szCs w:val="20"/>
        </w:rPr>
        <w:t xml:space="preserve">. To help retrieve data, we employed </w:t>
      </w:r>
      <w:proofErr w:type="spellStart"/>
      <w:r>
        <w:rPr>
          <w:color w:val="000000"/>
          <w:sz w:val="20"/>
          <w:szCs w:val="20"/>
        </w:rPr>
        <w:t>IMDbPY</w:t>
      </w:r>
      <w:proofErr w:type="spellEnd"/>
      <w:r w:rsidR="00731B04">
        <w:rPr>
          <w:color w:val="000000"/>
          <w:sz w:val="20"/>
          <w:szCs w:val="20"/>
        </w:rPr>
        <w:t xml:space="preserve"> </w:t>
      </w:r>
      <w:r w:rsidR="00AD04B9">
        <w:rPr>
          <w:color w:val="000000"/>
          <w:sz w:val="20"/>
          <w:szCs w:val="20"/>
        </w:rPr>
        <w:fldChar w:fldCharType="begin"/>
      </w:r>
      <w:r w:rsidR="00AD04B9">
        <w:rPr>
          <w:color w:val="000000"/>
          <w:sz w:val="20"/>
          <w:szCs w:val="20"/>
        </w:rPr>
        <w:instrText xml:space="preserve"> REF _Ref437869324 \r \h </w:instrText>
      </w:r>
      <w:r w:rsidR="00AD04B9">
        <w:rPr>
          <w:color w:val="000000"/>
          <w:sz w:val="20"/>
          <w:szCs w:val="20"/>
        </w:rPr>
      </w:r>
      <w:r w:rsidR="00AD04B9">
        <w:rPr>
          <w:color w:val="000000"/>
          <w:sz w:val="20"/>
          <w:szCs w:val="20"/>
        </w:rPr>
        <w:fldChar w:fldCharType="separate"/>
      </w:r>
      <w:r w:rsidR="00FE1479">
        <w:rPr>
          <w:color w:val="000000"/>
          <w:sz w:val="20"/>
          <w:szCs w:val="20"/>
        </w:rPr>
        <w:t>[7]</w:t>
      </w:r>
      <w:r w:rsidR="00AD04B9">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6"/>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7"/>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Using the Book-to-Movie Index File</w:t>
      </w:r>
      <w:r w:rsidR="00801DB4">
        <w:rPr>
          <w:rStyle w:val="FootnoteReference"/>
          <w:color w:val="000000"/>
          <w:sz w:val="20"/>
          <w:szCs w:val="20"/>
        </w:rPr>
        <w:footnoteReference w:id="8"/>
      </w:r>
      <w:r>
        <w:rPr>
          <w:color w:val="000000"/>
          <w:sz w:val="20"/>
          <w:szCs w:val="20"/>
        </w:rPr>
        <w:t xml:space="preserve"> as a </w:t>
      </w:r>
      <w:bookmarkStart w:id="3" w:name="_GoBack"/>
      <w:bookmarkEnd w:id="3"/>
      <w:r>
        <w:rPr>
          <w:color w:val="000000"/>
          <w:sz w:val="20"/>
          <w:szCs w:val="20"/>
        </w:rPr>
        <w:t xml:space="preserve">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xml:space="preserve">. Since our goal was to predict a book’s potential for movie success, we hoped to analyze only the most “successful” film adaptation. Thus, if a book was adapted to multiple movies, we </w:t>
      </w:r>
      <w:r>
        <w:rPr>
          <w:color w:val="000000"/>
          <w:sz w:val="20"/>
          <w:szCs w:val="20"/>
        </w:rPr>
        <w:lastRenderedPageBreak/>
        <w:t>selected the first closest search result for each unique title (IMDb orders search results by closest match, which are then sorted by most popular matches.) Then, from our list of best 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IMDb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9"/>
      </w:r>
      <w:r>
        <w:rPr>
          <w:color w:val="000000"/>
        </w:rPr>
        <w:t xml:space="preserve"> to parse the award-nomination listing on a movie’s award page. The number of wins </w:t>
      </w:r>
      <w:r>
        <w:rPr>
          <w:color w:val="000000"/>
        </w:rPr>
        <w:lastRenderedPageBreak/>
        <w:t xml:space="preserve">and the number of no-win nominations were parsed and summed, yielding the total nomination count. If the specific HTML element containing award information could not be found, or did 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 xml:space="preserve">Output Data </w:t>
      </w:r>
      <w:r w:rsidR="00EB5F01">
        <w:t>Representation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r w:rsidR="006320B2">
        <w:rPr>
          <w:color w:val="000000"/>
          <w:sz w:val="20"/>
          <w:szCs w:val="20"/>
        </w:rPr>
        <w:t>IMDb’s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D16D8A">
        <w:rPr>
          <w:color w:val="000000"/>
          <w:sz w:val="20"/>
          <w:szCs w:val="20"/>
        </w:rPr>
        <w:fldChar w:fldCharType="begin"/>
      </w:r>
      <w:r w:rsidR="00CF021C">
        <w:rPr>
          <w:color w:val="000000"/>
          <w:sz w:val="20"/>
          <w:szCs w:val="20"/>
        </w:rPr>
        <w:instrText xml:space="preserve"> REF _Ref437870971 </w:instrText>
      </w:r>
      <w:r w:rsidR="00D16D8A">
        <w:rPr>
          <w:color w:val="000000"/>
          <w:sz w:val="20"/>
          <w:szCs w:val="20"/>
        </w:rPr>
        <w:fldChar w:fldCharType="separate"/>
      </w:r>
      <w:r w:rsidR="00FE1479" w:rsidRPr="00CF021C">
        <w:rPr>
          <w:i/>
          <w:sz w:val="20"/>
          <w:szCs w:val="20"/>
        </w:rPr>
        <w:t xml:space="preserve">Table </w:t>
      </w:r>
      <w:r w:rsidR="00FE1479">
        <w:rPr>
          <w:i/>
          <w:noProof/>
          <w:sz w:val="20"/>
          <w:szCs w:val="20"/>
        </w:rPr>
        <w:t>3</w:t>
      </w:r>
      <w:r w:rsidR="00D16D8A">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p w:rsidR="005930E4" w:rsidRDefault="005930E4" w:rsidP="00F87443">
      <w:pPr>
        <w:pStyle w:val="NormalWeb"/>
        <w:spacing w:before="0" w:beforeAutospacing="0" w:after="0" w:afterAutospacing="0" w:line="480" w:lineRule="auto"/>
        <w:ind w:firstLine="270"/>
        <w:jc w:val="both"/>
        <w:rPr>
          <w:color w:val="000000"/>
          <w:sz w:val="20"/>
          <w:szCs w:val="20"/>
        </w:rPr>
      </w:pPr>
    </w:p>
    <w:tbl>
      <w:tblPr>
        <w:tblStyle w:val="TableGrid"/>
        <w:tblW w:w="5273" w:type="dxa"/>
        <w:jc w:val="center"/>
        <w:tblLook w:val="04A0"/>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IMDb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4" w:name="_Ref437870971"/>
      <w:r w:rsidRPr="00CF021C">
        <w:rPr>
          <w:i w:val="0"/>
          <w:sz w:val="20"/>
          <w:szCs w:val="20"/>
        </w:rPr>
        <w:t xml:space="preserve">Table </w:t>
      </w:r>
      <w:r w:rsidR="00D16D8A" w:rsidRPr="00CF021C">
        <w:rPr>
          <w:i w:val="0"/>
          <w:sz w:val="20"/>
          <w:szCs w:val="20"/>
        </w:rPr>
        <w:fldChar w:fldCharType="begin"/>
      </w:r>
      <w:r w:rsidRPr="00CF021C">
        <w:rPr>
          <w:i w:val="0"/>
          <w:sz w:val="20"/>
          <w:szCs w:val="20"/>
        </w:rPr>
        <w:instrText xml:space="preserve"> SEQ Table \* ARABIC </w:instrText>
      </w:r>
      <w:r w:rsidR="00D16D8A" w:rsidRPr="00CF021C">
        <w:rPr>
          <w:i w:val="0"/>
          <w:sz w:val="20"/>
          <w:szCs w:val="20"/>
        </w:rPr>
        <w:fldChar w:fldCharType="separate"/>
      </w:r>
      <w:r w:rsidR="00FE1479">
        <w:rPr>
          <w:i w:val="0"/>
          <w:noProof/>
          <w:sz w:val="20"/>
          <w:szCs w:val="20"/>
        </w:rPr>
        <w:t>3</w:t>
      </w:r>
      <w:r w:rsidR="00D16D8A" w:rsidRPr="00CF021C">
        <w:rPr>
          <w:i w:val="0"/>
          <w:sz w:val="20"/>
          <w:szCs w:val="20"/>
        </w:rPr>
        <w:fldChar w:fldCharType="end"/>
      </w:r>
      <w:bookmarkEnd w:id="4"/>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fldSimple w:instr=" REF _Ref437871949  \* MERGEFORMAT ">
        <w:r w:rsidR="00FE1479" w:rsidRPr="00181D9A">
          <w:rPr>
            <w:i/>
            <w:sz w:val="20"/>
            <w:szCs w:val="20"/>
          </w:rPr>
          <w:t xml:space="preserve">Formula </w:t>
        </w:r>
        <w:r w:rsidR="00FE1479">
          <w:rPr>
            <w:i/>
            <w:noProof/>
            <w:sz w:val="20"/>
            <w:szCs w:val="20"/>
          </w:rPr>
          <w:t>2</w:t>
        </w:r>
      </w:fldSimple>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w:t>
      </w:r>
      <w:r w:rsidR="00E03737">
        <w:rPr>
          <w:color w:val="000000"/>
          <w:sz w:val="20"/>
          <w:szCs w:val="20"/>
        </w:rPr>
        <w:lastRenderedPageBreak/>
        <w:t>from $0-$100,000, while the highest index represents revenues of $1,638,000,000 or above.</w:t>
      </w:r>
    </w:p>
    <w:p w:rsidR="00773254" w:rsidRDefault="00773254" w:rsidP="00F87443">
      <w:pPr>
        <w:pStyle w:val="NormalWeb"/>
        <w:spacing w:before="0" w:beforeAutospacing="0" w:after="0" w:afterAutospacing="0" w:line="480" w:lineRule="auto"/>
        <w:ind w:firstLine="270"/>
        <w:jc w:val="both"/>
        <w:rPr>
          <w:color w:val="000000"/>
          <w:sz w:val="20"/>
          <w:szCs w:val="20"/>
        </w:rPr>
      </w:pPr>
    </w:p>
    <w:p w:rsidR="00A80D25" w:rsidRDefault="002C5FB6" w:rsidP="00A80D25">
      <w:pPr>
        <w:pStyle w:val="Caption"/>
        <w:rPr>
          <w:iCs w:val="0"/>
          <w:color w:val="000000"/>
          <w:sz w:val="20"/>
          <w:szCs w:val="20"/>
          <w:lang w:eastAsia="en-US"/>
        </w:rPr>
      </w:pPr>
      <m:oMathPara>
        <m:oMath>
          <m: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w:rPr>
                      <w:rFonts w:ascii="Cambria Math" w:hAnsi="Cambria Math"/>
                      <w:color w:val="000000"/>
                      <w:sz w:val="20"/>
                      <w:szCs w:val="20"/>
                    </w:rPr>
                    <m:t>GBOR</m:t>
                  </m:r>
                </m:num>
                <m:den>
                  <m:r>
                    <w:rPr>
                      <w:rFonts w:ascii="Cambria Math" w:hAnsi="Cambria Math"/>
                      <w:color w:val="000000"/>
                      <w:sz w:val="20"/>
                      <w:szCs w:val="20"/>
                    </w:rPr>
                    <m:t>100,000</m:t>
                  </m:r>
                </m:den>
              </m:f>
              <m: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5" w:name="_Ref437871949"/>
      <w:r w:rsidRPr="00181D9A">
        <w:rPr>
          <w:i w:val="0"/>
          <w:sz w:val="20"/>
          <w:szCs w:val="20"/>
        </w:rPr>
        <w:t xml:space="preserve">Formula </w:t>
      </w:r>
      <w:r w:rsidR="00D16D8A">
        <w:rPr>
          <w:i w:val="0"/>
          <w:sz w:val="20"/>
          <w:szCs w:val="20"/>
        </w:rPr>
        <w:fldChar w:fldCharType="begin"/>
      </w:r>
      <w:r w:rsidR="00E6442B">
        <w:rPr>
          <w:i w:val="0"/>
          <w:sz w:val="20"/>
          <w:szCs w:val="20"/>
        </w:rPr>
        <w:instrText xml:space="preserve"> SEQ Formula \* ARABIC </w:instrText>
      </w:r>
      <w:r w:rsidR="00D16D8A">
        <w:rPr>
          <w:i w:val="0"/>
          <w:sz w:val="20"/>
          <w:szCs w:val="20"/>
        </w:rPr>
        <w:fldChar w:fldCharType="separate"/>
      </w:r>
      <w:r w:rsidR="00FE1479">
        <w:rPr>
          <w:i w:val="0"/>
          <w:noProof/>
          <w:sz w:val="20"/>
          <w:szCs w:val="20"/>
        </w:rPr>
        <w:t>2</w:t>
      </w:r>
      <w:r w:rsidR="00D16D8A">
        <w:rPr>
          <w:i w:val="0"/>
          <w:sz w:val="20"/>
          <w:szCs w:val="20"/>
        </w:rPr>
        <w:fldChar w:fldCharType="end"/>
      </w:r>
      <w:bookmarkEnd w:id="5"/>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D16D8A">
        <w:rPr>
          <w:color w:val="000000"/>
          <w:sz w:val="20"/>
          <w:szCs w:val="20"/>
        </w:rPr>
        <w:fldChar w:fldCharType="begin"/>
      </w:r>
      <w:r w:rsidR="00CF624C">
        <w:rPr>
          <w:color w:val="000000"/>
          <w:sz w:val="20"/>
          <w:szCs w:val="20"/>
        </w:rPr>
        <w:instrText xml:space="preserve"> REF _Ref437874220 </w:instrText>
      </w:r>
      <w:r w:rsidR="00D16D8A">
        <w:rPr>
          <w:color w:val="000000"/>
          <w:sz w:val="20"/>
          <w:szCs w:val="20"/>
        </w:rPr>
        <w:fldChar w:fldCharType="separate"/>
      </w:r>
      <w:r w:rsidR="00FE1479" w:rsidRPr="00E6442B">
        <w:rPr>
          <w:i/>
          <w:sz w:val="20"/>
          <w:szCs w:val="20"/>
        </w:rPr>
        <w:t xml:space="preserve">Formula </w:t>
      </w:r>
      <w:r w:rsidR="00FE1479">
        <w:rPr>
          <w:i/>
          <w:noProof/>
          <w:sz w:val="20"/>
          <w:szCs w:val="20"/>
        </w:rPr>
        <w:t>3</w:t>
      </w:r>
      <w:r w:rsidR="00D16D8A">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6" w:name="_Ref437874220"/>
      <w:r w:rsidRPr="00E6442B">
        <w:rPr>
          <w:i w:val="0"/>
          <w:sz w:val="20"/>
          <w:szCs w:val="20"/>
        </w:rPr>
        <w:t xml:space="preserve">Formula </w:t>
      </w:r>
      <w:r w:rsidR="00D16D8A" w:rsidRPr="00E6442B">
        <w:rPr>
          <w:i w:val="0"/>
          <w:sz w:val="20"/>
          <w:szCs w:val="20"/>
        </w:rPr>
        <w:fldChar w:fldCharType="begin"/>
      </w:r>
      <w:r w:rsidRPr="00E6442B">
        <w:rPr>
          <w:i w:val="0"/>
          <w:sz w:val="20"/>
          <w:szCs w:val="20"/>
        </w:rPr>
        <w:instrText xml:space="preserve"> SEQ Formula \* ARABIC </w:instrText>
      </w:r>
      <w:r w:rsidR="00D16D8A" w:rsidRPr="00E6442B">
        <w:rPr>
          <w:i w:val="0"/>
          <w:sz w:val="20"/>
          <w:szCs w:val="20"/>
        </w:rPr>
        <w:fldChar w:fldCharType="separate"/>
      </w:r>
      <w:r w:rsidR="00FE1479">
        <w:rPr>
          <w:i w:val="0"/>
          <w:noProof/>
          <w:sz w:val="20"/>
          <w:szCs w:val="20"/>
        </w:rPr>
        <w:t>3</w:t>
      </w:r>
      <w:r w:rsidR="00D16D8A" w:rsidRPr="00E6442B">
        <w:rPr>
          <w:i w:val="0"/>
          <w:sz w:val="20"/>
          <w:szCs w:val="20"/>
        </w:rPr>
        <w:fldChar w:fldCharType="end"/>
      </w:r>
      <w:bookmarkEnd w:id="6"/>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D16D8A">
        <w:rPr>
          <w:color w:val="000000"/>
          <w:sz w:val="20"/>
          <w:szCs w:val="20"/>
        </w:rPr>
        <w:fldChar w:fldCharType="begin"/>
      </w:r>
      <w:r w:rsidR="000057F8">
        <w:rPr>
          <w:color w:val="000000"/>
          <w:sz w:val="20"/>
          <w:szCs w:val="20"/>
        </w:rPr>
        <w:instrText xml:space="preserve"> REF _Ref437875601 </w:instrText>
      </w:r>
      <w:r w:rsidR="00D16D8A">
        <w:rPr>
          <w:color w:val="000000"/>
          <w:sz w:val="20"/>
          <w:szCs w:val="20"/>
        </w:rPr>
        <w:fldChar w:fldCharType="separate"/>
      </w:r>
      <w:r w:rsidR="00FE1479" w:rsidRPr="00E57782">
        <w:rPr>
          <w:i/>
          <w:sz w:val="20"/>
          <w:szCs w:val="20"/>
        </w:rPr>
        <w:t xml:space="preserve">Table </w:t>
      </w:r>
      <w:r w:rsidR="00FE1479">
        <w:rPr>
          <w:i/>
          <w:noProof/>
          <w:sz w:val="20"/>
          <w:szCs w:val="20"/>
        </w:rPr>
        <w:t>4</w:t>
      </w:r>
      <w:r w:rsidR="00D16D8A">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7" w:name="_Ref437875601"/>
      <w:r w:rsidRPr="00E57782">
        <w:rPr>
          <w:i w:val="0"/>
          <w:sz w:val="20"/>
          <w:szCs w:val="20"/>
        </w:rPr>
        <w:t xml:space="preserve">Table </w:t>
      </w:r>
      <w:r w:rsidR="00D16D8A" w:rsidRPr="00E57782">
        <w:rPr>
          <w:i w:val="0"/>
          <w:sz w:val="20"/>
          <w:szCs w:val="20"/>
        </w:rPr>
        <w:fldChar w:fldCharType="begin"/>
      </w:r>
      <w:r w:rsidRPr="00E57782">
        <w:rPr>
          <w:i w:val="0"/>
          <w:sz w:val="20"/>
          <w:szCs w:val="20"/>
        </w:rPr>
        <w:instrText xml:space="preserve"> SEQ Table \* ARABIC </w:instrText>
      </w:r>
      <w:r w:rsidR="00D16D8A" w:rsidRPr="00E57782">
        <w:rPr>
          <w:i w:val="0"/>
          <w:sz w:val="20"/>
          <w:szCs w:val="20"/>
        </w:rPr>
        <w:fldChar w:fldCharType="separate"/>
      </w:r>
      <w:r w:rsidR="00FE1479">
        <w:rPr>
          <w:i w:val="0"/>
          <w:noProof/>
          <w:sz w:val="20"/>
          <w:szCs w:val="20"/>
        </w:rPr>
        <w:t>4</w:t>
      </w:r>
      <w:r w:rsidR="00D16D8A" w:rsidRPr="00E57782">
        <w:rPr>
          <w:i w:val="0"/>
          <w:sz w:val="20"/>
          <w:szCs w:val="20"/>
        </w:rPr>
        <w:fldChar w:fldCharType="end"/>
      </w:r>
      <w:bookmarkEnd w:id="7"/>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lastRenderedPageBreak/>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d in four Java classes</w:t>
      </w:r>
      <w:r w:rsidR="0044650D">
        <w:rPr>
          <w:rStyle w:val="FootnoteReference"/>
          <w:color w:val="000000"/>
        </w:rPr>
        <w:footnoteReference w:id="10"/>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perceptrons.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D16D8A">
        <w:rPr>
          <w:color w:val="000000"/>
        </w:rPr>
        <w:fldChar w:fldCharType="begin"/>
      </w:r>
      <w:r w:rsidR="00AD457C">
        <w:rPr>
          <w:color w:val="000000"/>
        </w:rPr>
        <w:instrText xml:space="preserve"> REF _Ref437877782 </w:instrText>
      </w:r>
      <w:r w:rsidR="00D16D8A">
        <w:rPr>
          <w:color w:val="000000"/>
        </w:rPr>
        <w:fldChar w:fldCharType="separate"/>
      </w:r>
      <w:r w:rsidR="00FE1479" w:rsidRPr="00CD1D20">
        <w:rPr>
          <w:i/>
        </w:rPr>
        <w:t xml:space="preserve">Figure </w:t>
      </w:r>
      <w:r w:rsidR="00FE1479">
        <w:rPr>
          <w:i/>
          <w:noProof/>
        </w:rPr>
        <w:t>1</w:t>
      </w:r>
      <w:r w:rsidR="00D16D8A">
        <w:rPr>
          <w:color w:val="000000"/>
        </w:rPr>
        <w:fldChar w:fldCharType="end"/>
      </w:r>
      <w:r>
        <w:rPr>
          <w:color w:val="000000"/>
        </w:rPr>
        <w:t xml:space="preserve">. This allowed the internal structure of the ANN to be adjusted between iterations of supervised learning. The input layer of the ANN is comprised of 43 perceptrons which map to an array of 43 binary inputs. The structure of the binary input array is displayed in </w:t>
      </w:r>
      <w:r w:rsidR="00D16D8A">
        <w:rPr>
          <w:color w:val="000000"/>
        </w:rPr>
        <w:fldChar w:fldCharType="begin"/>
      </w:r>
      <w:r w:rsidR="006A311A">
        <w:rPr>
          <w:color w:val="000000"/>
        </w:rPr>
        <w:instrText xml:space="preserve"> REF _Ref437865755 </w:instrText>
      </w:r>
      <w:r w:rsidR="00D16D8A">
        <w:rPr>
          <w:color w:val="000000"/>
        </w:rPr>
        <w:fldChar w:fldCharType="separate"/>
      </w:r>
      <w:r w:rsidR="00FE1479" w:rsidRPr="00CD1D20">
        <w:rPr>
          <w:i/>
        </w:rPr>
        <w:t xml:space="preserve">Table </w:t>
      </w:r>
      <w:r w:rsidR="00FE1479">
        <w:rPr>
          <w:i/>
          <w:noProof/>
        </w:rPr>
        <w:t>5</w:t>
      </w:r>
      <w:r w:rsidR="00D16D8A">
        <w:rPr>
          <w:color w:val="000000"/>
        </w:rPr>
        <w:fldChar w:fldCharType="end"/>
      </w:r>
      <w:r>
        <w:rPr>
          <w:color w:val="000000"/>
        </w:rPr>
        <w:t xml:space="preserve">. The output layer of the ANN consists of 44 perceptrons which produce 44 continuous outputs. During training and testing these outputs are compared to an array of 44 binary outputs. The structure of the binary output array is displayed in </w:t>
      </w:r>
      <w:r w:rsidR="00D16D8A">
        <w:rPr>
          <w:color w:val="000000"/>
        </w:rPr>
        <w:fldChar w:fldCharType="begin"/>
      </w:r>
      <w:r w:rsidR="006A311A">
        <w:rPr>
          <w:color w:val="000000"/>
        </w:rPr>
        <w:instrText xml:space="preserve"> REF _Ref437865186 </w:instrText>
      </w:r>
      <w:r w:rsidR="00D16D8A">
        <w:rPr>
          <w:color w:val="000000"/>
        </w:rPr>
        <w:fldChar w:fldCharType="separate"/>
      </w:r>
      <w:r w:rsidR="00FE1479" w:rsidRPr="00CD1D20">
        <w:rPr>
          <w:i/>
        </w:rPr>
        <w:t xml:space="preserve">Table </w:t>
      </w:r>
      <w:r w:rsidR="00FE1479">
        <w:rPr>
          <w:i/>
          <w:noProof/>
        </w:rPr>
        <w:t>6</w:t>
      </w:r>
      <w:r w:rsidR="00D16D8A">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lastRenderedPageBreak/>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093" r="2786" b="3415"/>
                    <a:stretch/>
                  </pic:blipFill>
                  <pic:spPr bwMode="auto">
                    <a:xfrm>
                      <a:off x="0" y="0"/>
                      <a:ext cx="3213718" cy="296602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2023D" w:rsidRDefault="00CD1D20" w:rsidP="00CD1D20">
      <w:pPr>
        <w:pStyle w:val="Caption"/>
        <w:rPr>
          <w:i w:val="0"/>
          <w:color w:val="000000"/>
          <w:sz w:val="20"/>
          <w:szCs w:val="20"/>
        </w:rPr>
      </w:pPr>
      <w:bookmarkStart w:id="8" w:name="_Ref437877782"/>
      <w:r w:rsidRPr="00CD1D20">
        <w:rPr>
          <w:i w:val="0"/>
          <w:sz w:val="20"/>
          <w:szCs w:val="20"/>
        </w:rPr>
        <w:t xml:space="preserve">Figure </w:t>
      </w:r>
      <w:r w:rsidR="00D16D8A" w:rsidRPr="00CD1D20">
        <w:rPr>
          <w:i w:val="0"/>
          <w:sz w:val="20"/>
          <w:szCs w:val="20"/>
        </w:rPr>
        <w:fldChar w:fldCharType="begin"/>
      </w:r>
      <w:r w:rsidRPr="00CD1D20">
        <w:rPr>
          <w:i w:val="0"/>
          <w:sz w:val="20"/>
          <w:szCs w:val="20"/>
        </w:rPr>
        <w:instrText xml:space="preserve"> SEQ Figure \* ARABIC </w:instrText>
      </w:r>
      <w:r w:rsidR="00D16D8A" w:rsidRPr="00CD1D20">
        <w:rPr>
          <w:i w:val="0"/>
          <w:sz w:val="20"/>
          <w:szCs w:val="20"/>
        </w:rPr>
        <w:fldChar w:fldCharType="separate"/>
      </w:r>
      <w:r w:rsidR="00FE1479">
        <w:rPr>
          <w:i w:val="0"/>
          <w:noProof/>
          <w:sz w:val="20"/>
          <w:szCs w:val="20"/>
        </w:rPr>
        <w:t>1</w:t>
      </w:r>
      <w:r w:rsidR="00D16D8A"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9" w:name="_Ref437865755"/>
      <w:r w:rsidRPr="00CD1D20">
        <w:rPr>
          <w:i w:val="0"/>
          <w:sz w:val="20"/>
          <w:szCs w:val="20"/>
        </w:rPr>
        <w:t xml:space="preserve">Table </w:t>
      </w:r>
      <w:r w:rsidR="00D16D8A" w:rsidRPr="00CD1D20">
        <w:rPr>
          <w:i w:val="0"/>
          <w:sz w:val="20"/>
          <w:szCs w:val="20"/>
        </w:rPr>
        <w:fldChar w:fldCharType="begin"/>
      </w:r>
      <w:r w:rsidRPr="00CD1D20">
        <w:rPr>
          <w:i w:val="0"/>
          <w:sz w:val="20"/>
          <w:szCs w:val="20"/>
        </w:rPr>
        <w:instrText xml:space="preserve"> SEQ Table \* ARABIC </w:instrText>
      </w:r>
      <w:r w:rsidR="00D16D8A" w:rsidRPr="00CD1D20">
        <w:rPr>
          <w:i w:val="0"/>
          <w:sz w:val="20"/>
          <w:szCs w:val="20"/>
        </w:rPr>
        <w:fldChar w:fldCharType="separate"/>
      </w:r>
      <w:r w:rsidR="00FE1479">
        <w:rPr>
          <w:i w:val="0"/>
          <w:noProof/>
          <w:sz w:val="20"/>
          <w:szCs w:val="20"/>
        </w:rPr>
        <w:t>5</w:t>
      </w:r>
      <w:r w:rsidR="00D16D8A"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10" w:name="_Ref437865186"/>
      <w:r w:rsidRPr="00CD1D20">
        <w:rPr>
          <w:i w:val="0"/>
          <w:sz w:val="20"/>
          <w:szCs w:val="20"/>
        </w:rPr>
        <w:t xml:space="preserve">Table </w:t>
      </w:r>
      <w:r w:rsidR="00D16D8A" w:rsidRPr="00CD1D20">
        <w:rPr>
          <w:i w:val="0"/>
          <w:sz w:val="20"/>
          <w:szCs w:val="20"/>
        </w:rPr>
        <w:fldChar w:fldCharType="begin"/>
      </w:r>
      <w:r w:rsidRPr="00CD1D20">
        <w:rPr>
          <w:i w:val="0"/>
          <w:sz w:val="20"/>
          <w:szCs w:val="20"/>
        </w:rPr>
        <w:instrText xml:space="preserve"> SEQ Table \* ARABIC </w:instrText>
      </w:r>
      <w:r w:rsidR="00D16D8A" w:rsidRPr="00CD1D20">
        <w:rPr>
          <w:i w:val="0"/>
          <w:sz w:val="20"/>
          <w:szCs w:val="20"/>
        </w:rPr>
        <w:fldChar w:fldCharType="separate"/>
      </w:r>
      <w:r w:rsidR="00FE1479">
        <w:rPr>
          <w:i w:val="0"/>
          <w:noProof/>
          <w:sz w:val="20"/>
          <w:szCs w:val="20"/>
        </w:rPr>
        <w:t>6</w:t>
      </w:r>
      <w:r w:rsidR="00D16D8A" w:rsidRPr="00CD1D20">
        <w:rPr>
          <w:i w:val="0"/>
          <w:sz w:val="20"/>
          <w:szCs w:val="20"/>
        </w:rPr>
        <w:fldChar w:fldCharType="end"/>
      </w:r>
      <w:bookmarkEnd w:id="10"/>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 xml:space="preserve">tion Algorithm. When the </w:t>
      </w:r>
      <w:r w:rsidR="000528EA">
        <w:rPr>
          <w:color w:val="000000"/>
          <w:sz w:val="20"/>
          <w:szCs w:val="20"/>
        </w:rPr>
        <w:lastRenderedPageBreak/>
        <w:t>Dataset</w:t>
      </w:r>
      <w:r w:rsidR="000528EA">
        <w:rPr>
          <w:rStyle w:val="FootnoteReference"/>
          <w:color w:val="000000"/>
          <w:sz w:val="20"/>
          <w:szCs w:val="20"/>
        </w:rPr>
        <w:footnoteReference w:id="11"/>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w:t>
      </w:r>
      <w:r>
        <w:rPr>
          <w:color w:val="000000"/>
          <w:sz w:val="20"/>
          <w:szCs w:val="20"/>
        </w:rPr>
        <w:lastRenderedPageBreak/>
        <w:t xml:space="preserve">perceptron determines its Squared Error by using the corresponding output data. There are then three basic steps performed by each perceptron for the Backpropagation Algorithm. First the </w:t>
      </w:r>
      <w:r w:rsidRPr="009E0D87">
        <w:rPr>
          <w:color w:val="000000"/>
          <w:sz w:val="20"/>
          <w:szCs w:val="20"/>
        </w:rPr>
        <w:t>derivative (Δw</w:t>
      </w:r>
      <w:r w:rsidRPr="009E0D87">
        <w:rPr>
          <w:color w:val="000000"/>
          <w:sz w:val="20"/>
          <w:szCs w:val="20"/>
          <w:vertAlign w:val="subscript"/>
        </w:rPr>
        <w:t>i</w:t>
      </w:r>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w:t>
      </w:r>
      <w:r w:rsidRPr="009E0D87">
        <w:rPr>
          <w:color w:val="000000"/>
          <w:sz w:val="20"/>
          <w:szCs w:val="20"/>
          <w:vertAlign w:val="subscript"/>
        </w:rPr>
        <w:t>i</w:t>
      </w:r>
      <w:r w:rsidRPr="009E0D87">
        <w:rPr>
          <w:color w:val="000000"/>
          <w:sz w:val="20"/>
          <w:szCs w:val="20"/>
        </w:rPr>
        <w:t>)</w:t>
      </w:r>
      <w:r>
        <w:rPr>
          <w:color w:val="000000"/>
          <w:sz w:val="20"/>
          <w:szCs w:val="20"/>
        </w:rPr>
        <w:t xml:space="preserve"> is determined as shown in </w:t>
      </w:r>
      <w:r w:rsidR="00D16D8A">
        <w:rPr>
          <w:color w:val="000000"/>
          <w:sz w:val="20"/>
          <w:szCs w:val="20"/>
        </w:rPr>
        <w:fldChar w:fldCharType="begin"/>
      </w:r>
      <w:r w:rsidR="00136AE6">
        <w:rPr>
          <w:color w:val="000000"/>
          <w:sz w:val="20"/>
          <w:szCs w:val="20"/>
        </w:rPr>
        <w:instrText xml:space="preserve"> REF _Ref437876703 </w:instrText>
      </w:r>
      <w:r w:rsidR="00D16D8A">
        <w:rPr>
          <w:color w:val="000000"/>
          <w:sz w:val="20"/>
          <w:szCs w:val="20"/>
        </w:rPr>
        <w:fldChar w:fldCharType="separate"/>
      </w:r>
      <w:r w:rsidR="00FE1479" w:rsidRPr="00136AE6">
        <w:rPr>
          <w:i/>
          <w:sz w:val="20"/>
          <w:szCs w:val="20"/>
        </w:rPr>
        <w:t xml:space="preserve">Formula </w:t>
      </w:r>
      <w:r w:rsidR="00FE1479">
        <w:rPr>
          <w:i/>
          <w:noProof/>
          <w:sz w:val="20"/>
          <w:szCs w:val="20"/>
        </w:rPr>
        <w:t>4</w:t>
      </w:r>
      <w:r w:rsidR="00D16D8A">
        <w:rPr>
          <w:color w:val="000000"/>
          <w:sz w:val="20"/>
          <w:szCs w:val="20"/>
        </w:rPr>
        <w:fldChar w:fldCharType="end"/>
      </w:r>
      <w:r>
        <w:rPr>
          <w:color w:val="000000"/>
          <w:sz w:val="20"/>
          <w:szCs w:val="20"/>
        </w:rPr>
        <w:t>. Second the derivative of the Squared Error (E) with respect to each of a perceptron’s inputs</w:t>
      </w:r>
      <w:r w:rsidR="00156693">
        <w:rPr>
          <w:color w:val="000000"/>
          <w:sz w:val="20"/>
          <w:szCs w:val="20"/>
        </w:rPr>
        <w:t xml:space="preserve"> </w:t>
      </w:r>
      <w:r>
        <w:rPr>
          <w:color w:val="000000"/>
          <w:sz w:val="20"/>
          <w:szCs w:val="20"/>
        </w:rPr>
        <w:t xml:space="preserve">(i) is similarly calculated, refer to </w:t>
      </w:r>
      <w:r w:rsidR="00D16D8A">
        <w:rPr>
          <w:color w:val="000000"/>
          <w:sz w:val="20"/>
          <w:szCs w:val="20"/>
        </w:rPr>
        <w:fldChar w:fldCharType="begin"/>
      </w:r>
      <w:r w:rsidR="00A11775">
        <w:rPr>
          <w:color w:val="000000"/>
          <w:sz w:val="20"/>
          <w:szCs w:val="20"/>
        </w:rPr>
        <w:instrText xml:space="preserve"> REF _Ref437877270 </w:instrText>
      </w:r>
      <w:r w:rsidR="00D16D8A">
        <w:rPr>
          <w:color w:val="000000"/>
          <w:sz w:val="20"/>
          <w:szCs w:val="20"/>
        </w:rPr>
        <w:fldChar w:fldCharType="separate"/>
      </w:r>
      <w:r w:rsidR="00FE1479" w:rsidRPr="00A11775">
        <w:rPr>
          <w:i/>
          <w:sz w:val="20"/>
          <w:szCs w:val="20"/>
        </w:rPr>
        <w:t xml:space="preserve">Formula </w:t>
      </w:r>
      <w:r w:rsidR="00FE1479">
        <w:rPr>
          <w:i/>
          <w:noProof/>
          <w:sz w:val="20"/>
          <w:szCs w:val="20"/>
        </w:rPr>
        <w:t>5</w:t>
      </w:r>
      <w:r w:rsidR="00D16D8A">
        <w:rPr>
          <w:color w:val="000000"/>
          <w:sz w:val="20"/>
          <w:szCs w:val="20"/>
        </w:rPr>
        <w:fldChar w:fldCharType="end"/>
      </w:r>
      <w:r>
        <w:rPr>
          <w:color w:val="000000"/>
          <w:sz w:val="20"/>
          <w:szCs w:val="20"/>
        </w:rPr>
        <w:t xml:space="preserve">, and that adjustment (Δi) is provided to the perceptron that gave that input for its own Squared Error determination. Third all the weights are adjusted as indicated by </w:t>
      </w:r>
      <w:r w:rsidR="00D16D8A">
        <w:rPr>
          <w:color w:val="000000"/>
          <w:sz w:val="20"/>
          <w:szCs w:val="20"/>
        </w:rPr>
        <w:fldChar w:fldCharType="begin"/>
      </w:r>
      <w:r w:rsidR="00735071">
        <w:rPr>
          <w:color w:val="000000"/>
          <w:sz w:val="20"/>
          <w:szCs w:val="20"/>
        </w:rPr>
        <w:instrText xml:space="preserve"> REF _Ref437877480 </w:instrText>
      </w:r>
      <w:r w:rsidR="00D16D8A">
        <w:rPr>
          <w:color w:val="000000"/>
          <w:sz w:val="20"/>
          <w:szCs w:val="20"/>
        </w:rPr>
        <w:fldChar w:fldCharType="separate"/>
      </w:r>
      <w:r w:rsidR="00FE1479" w:rsidRPr="00735071">
        <w:rPr>
          <w:i/>
          <w:sz w:val="20"/>
          <w:szCs w:val="20"/>
        </w:rPr>
        <w:t xml:space="preserve">Formula </w:t>
      </w:r>
      <w:r w:rsidR="00FE1479">
        <w:rPr>
          <w:i/>
          <w:noProof/>
          <w:sz w:val="20"/>
          <w:szCs w:val="20"/>
        </w:rPr>
        <w:t>6</w:t>
      </w:r>
      <w:r w:rsidR="00D16D8A">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1" w:name="_Ref437876703"/>
      <w:r w:rsidRPr="00136AE6">
        <w:rPr>
          <w:i w:val="0"/>
          <w:sz w:val="20"/>
          <w:szCs w:val="20"/>
        </w:rPr>
        <w:t xml:space="preserve">Formula </w:t>
      </w:r>
      <w:r w:rsidR="00D16D8A" w:rsidRPr="00136AE6">
        <w:rPr>
          <w:i w:val="0"/>
          <w:sz w:val="20"/>
          <w:szCs w:val="20"/>
        </w:rPr>
        <w:fldChar w:fldCharType="begin"/>
      </w:r>
      <w:r w:rsidRPr="00136AE6">
        <w:rPr>
          <w:i w:val="0"/>
          <w:sz w:val="20"/>
          <w:szCs w:val="20"/>
        </w:rPr>
        <w:instrText xml:space="preserve"> SEQ Formula \* ARABIC </w:instrText>
      </w:r>
      <w:r w:rsidR="00D16D8A" w:rsidRPr="00136AE6">
        <w:rPr>
          <w:i w:val="0"/>
          <w:sz w:val="20"/>
          <w:szCs w:val="20"/>
        </w:rPr>
        <w:fldChar w:fldCharType="separate"/>
      </w:r>
      <w:r w:rsidR="00FE1479">
        <w:rPr>
          <w:i w:val="0"/>
          <w:noProof/>
          <w:sz w:val="20"/>
          <w:szCs w:val="20"/>
        </w:rPr>
        <w:t>4</w:t>
      </w:r>
      <w:r w:rsidR="00D16D8A" w:rsidRPr="00136AE6">
        <w:rPr>
          <w:i w:val="0"/>
          <w:sz w:val="20"/>
          <w:szCs w:val="20"/>
        </w:rPr>
        <w:fldChar w:fldCharType="end"/>
      </w:r>
      <w:bookmarkEnd w:id="11"/>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2" w:name="_Ref437877270"/>
      <w:r w:rsidRPr="00A11775">
        <w:rPr>
          <w:i w:val="0"/>
          <w:sz w:val="20"/>
          <w:szCs w:val="20"/>
        </w:rPr>
        <w:t xml:space="preserve">Formula </w:t>
      </w:r>
      <w:r w:rsidR="00D16D8A" w:rsidRPr="00A11775">
        <w:rPr>
          <w:i w:val="0"/>
          <w:sz w:val="20"/>
          <w:szCs w:val="20"/>
        </w:rPr>
        <w:fldChar w:fldCharType="begin"/>
      </w:r>
      <w:r w:rsidRPr="00A11775">
        <w:rPr>
          <w:i w:val="0"/>
          <w:sz w:val="20"/>
          <w:szCs w:val="20"/>
        </w:rPr>
        <w:instrText xml:space="preserve"> SEQ Formula \* ARABIC </w:instrText>
      </w:r>
      <w:r w:rsidR="00D16D8A" w:rsidRPr="00A11775">
        <w:rPr>
          <w:i w:val="0"/>
          <w:sz w:val="20"/>
          <w:szCs w:val="20"/>
        </w:rPr>
        <w:fldChar w:fldCharType="separate"/>
      </w:r>
      <w:r w:rsidR="00FE1479">
        <w:rPr>
          <w:i w:val="0"/>
          <w:noProof/>
          <w:sz w:val="20"/>
          <w:szCs w:val="20"/>
        </w:rPr>
        <w:t>5</w:t>
      </w:r>
      <w:r w:rsidR="00D16D8A" w:rsidRPr="00A11775">
        <w:rPr>
          <w:i w:val="0"/>
          <w:sz w:val="20"/>
          <w:szCs w:val="20"/>
        </w:rPr>
        <w:fldChar w:fldCharType="end"/>
      </w:r>
      <w:bookmarkEnd w:id="12"/>
    </w:p>
    <w:p w:rsidR="00735071" w:rsidRDefault="00735071" w:rsidP="00A11775">
      <w:pPr>
        <w:pStyle w:val="Caption"/>
        <w:rPr>
          <w:i w:val="0"/>
          <w:sz w:val="20"/>
          <w:szCs w:val="20"/>
        </w:rPr>
      </w:pPr>
    </w:p>
    <w:p w:rsidR="00735071" w:rsidRDefault="00D16D8A"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3" w:name="_Ref437877480"/>
      <w:r w:rsidRPr="00735071">
        <w:rPr>
          <w:i w:val="0"/>
          <w:sz w:val="20"/>
          <w:szCs w:val="20"/>
        </w:rPr>
        <w:t xml:space="preserve">Formula </w:t>
      </w:r>
      <w:r w:rsidR="00D16D8A" w:rsidRPr="00735071">
        <w:rPr>
          <w:i w:val="0"/>
          <w:sz w:val="20"/>
          <w:szCs w:val="20"/>
        </w:rPr>
        <w:fldChar w:fldCharType="begin"/>
      </w:r>
      <w:r w:rsidRPr="00735071">
        <w:rPr>
          <w:i w:val="0"/>
          <w:sz w:val="20"/>
          <w:szCs w:val="20"/>
        </w:rPr>
        <w:instrText xml:space="preserve"> SEQ Formula \* ARABIC </w:instrText>
      </w:r>
      <w:r w:rsidR="00D16D8A" w:rsidRPr="00735071">
        <w:rPr>
          <w:i w:val="0"/>
          <w:sz w:val="20"/>
          <w:szCs w:val="20"/>
        </w:rPr>
        <w:fldChar w:fldCharType="separate"/>
      </w:r>
      <w:r w:rsidR="00FE1479">
        <w:rPr>
          <w:i w:val="0"/>
          <w:noProof/>
          <w:sz w:val="20"/>
          <w:szCs w:val="20"/>
        </w:rPr>
        <w:t>6</w:t>
      </w:r>
      <w:r w:rsidR="00D16D8A" w:rsidRPr="00735071">
        <w:rPr>
          <w:i w:val="0"/>
          <w:sz w:val="20"/>
          <w:szCs w:val="20"/>
        </w:rPr>
        <w:fldChar w:fldCharType="end"/>
      </w:r>
      <w:bookmarkEnd w:id="13"/>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w:t>
      </w:r>
      <w:r>
        <w:rPr>
          <w:color w:val="000000"/>
        </w:rPr>
        <w:lastRenderedPageBreak/>
        <w:t xml:space="preserve">determined by finding the local maximum of partitions of the output that contain mutually exclusive elements. For example as shown in </w:t>
      </w:r>
      <w:r w:rsidR="00D16D8A">
        <w:rPr>
          <w:color w:val="000000"/>
        </w:rPr>
        <w:fldChar w:fldCharType="begin"/>
      </w:r>
      <w:r w:rsidR="006A311A">
        <w:rPr>
          <w:color w:val="000000"/>
        </w:rPr>
        <w:instrText xml:space="preserve"> REF _Ref437865186 </w:instrText>
      </w:r>
      <w:r w:rsidR="00D16D8A">
        <w:rPr>
          <w:color w:val="000000"/>
        </w:rPr>
        <w:fldChar w:fldCharType="separate"/>
      </w:r>
      <w:r w:rsidR="00FE1479" w:rsidRPr="00CD1D20">
        <w:rPr>
          <w:i/>
        </w:rPr>
        <w:t xml:space="preserve">Table </w:t>
      </w:r>
      <w:r w:rsidR="00FE1479">
        <w:rPr>
          <w:i/>
          <w:noProof/>
        </w:rPr>
        <w:t>6</w:t>
      </w:r>
      <w:r w:rsidR="00D16D8A">
        <w:rPr>
          <w:color w:val="000000"/>
        </w:rPr>
        <w:fldChar w:fldCharType="end"/>
      </w:r>
      <w:r>
        <w:rPr>
          <w:color w:val="000000"/>
        </w:rPr>
        <w:t>, the first nine indices of the binary output array contain mutually exclusive elements, thus the outputs of the first nine perceptrons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lastRenderedPageBreak/>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D16D8A">
        <w:rPr>
          <w:color w:val="000000"/>
          <w:sz w:val="20"/>
          <w:szCs w:val="20"/>
        </w:rPr>
        <w:fldChar w:fldCharType="begin"/>
      </w:r>
      <w:r w:rsidR="00020E79">
        <w:rPr>
          <w:color w:val="000000"/>
          <w:sz w:val="20"/>
          <w:szCs w:val="20"/>
        </w:rPr>
        <w:instrText xml:space="preserve"> REF _Ref437866524 </w:instrText>
      </w:r>
      <w:r w:rsidR="00D16D8A">
        <w:rPr>
          <w:color w:val="000000"/>
          <w:sz w:val="20"/>
          <w:szCs w:val="20"/>
        </w:rPr>
        <w:fldChar w:fldCharType="separate"/>
      </w:r>
      <w:r w:rsidR="00FE1479" w:rsidRPr="00C17126">
        <w:rPr>
          <w:i/>
          <w:sz w:val="20"/>
          <w:szCs w:val="20"/>
        </w:rPr>
        <w:t xml:space="preserve">Table </w:t>
      </w:r>
      <w:r w:rsidR="00FE1479">
        <w:rPr>
          <w:i/>
          <w:noProof/>
          <w:sz w:val="20"/>
          <w:szCs w:val="20"/>
        </w:rPr>
        <w:t>8</w:t>
      </w:r>
      <w:r w:rsidR="00D16D8A">
        <w:rPr>
          <w:color w:val="000000"/>
          <w:sz w:val="20"/>
          <w:szCs w:val="20"/>
        </w:rPr>
        <w:fldChar w:fldCharType="end"/>
      </w:r>
      <w:r>
        <w:rPr>
          <w:color w:val="000000"/>
          <w:sz w:val="20"/>
          <w:szCs w:val="20"/>
        </w:rPr>
        <w:t>.</w:t>
      </w:r>
    </w:p>
    <w:p w:rsidR="005E15C2" w:rsidRDefault="00D16D8A" w:rsidP="00F87443">
      <w:pPr>
        <w:pStyle w:val="NormalWeb"/>
        <w:spacing w:before="0" w:beforeAutospacing="0" w:after="0" w:afterAutospacing="0" w:line="480" w:lineRule="auto"/>
        <w:ind w:firstLine="270"/>
      </w:pPr>
      <w:r w:rsidRPr="00D16D8A">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tblPr>
                  <w:tblGrid>
                    <w:gridCol w:w="1282"/>
                    <w:gridCol w:w="1167"/>
                    <w:gridCol w:w="1123"/>
                    <w:gridCol w:w="1386"/>
                    <w:gridCol w:w="1137"/>
                    <w:gridCol w:w="1057"/>
                    <w:gridCol w:w="1030"/>
                    <w:gridCol w:w="992"/>
                    <w:gridCol w:w="1070"/>
                  </w:tblGrid>
                  <w:tr w:rsidR="00AD04B9" w:rsidRPr="00C17126" w:rsidTr="00C17126">
                    <w:trPr>
                      <w:trHeight w:val="437"/>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AD04B9" w:rsidRPr="00C17126" w:rsidTr="00C17126">
                    <w:trPr>
                      <w:trHeight w:val="211"/>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AD04B9" w:rsidRPr="00C17126" w:rsidTr="00C17126">
                    <w:trPr>
                      <w:trHeight w:val="188"/>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AD04B9" w:rsidRPr="00C17126" w:rsidTr="00C17126">
                    <w:trPr>
                      <w:trHeight w:val="211"/>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AD04B9" w:rsidRPr="00C17126" w:rsidTr="00C17126">
                    <w:trPr>
                      <w:trHeight w:val="111"/>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AD04B9" w:rsidRPr="00C17126" w:rsidTr="00C17126">
                    <w:trPr>
                      <w:trHeight w:val="188"/>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AD04B9" w:rsidRPr="00C17126" w:rsidTr="00C17126">
                    <w:trPr>
                      <w:trHeight w:val="211"/>
                      <w:jc w:val="center"/>
                    </w:trPr>
                    <w:tc>
                      <w:tcPr>
                        <w:tcW w:w="128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AD04B9" w:rsidRPr="00C17126" w:rsidTr="00C17126">
                    <w:trPr>
                      <w:trHeight w:val="211"/>
                      <w:jc w:val="center"/>
                    </w:trPr>
                    <w:tc>
                      <w:tcPr>
                        <w:tcW w:w="6094" w:type="dxa"/>
                        <w:gridSpan w:val="5"/>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AD04B9" w:rsidRPr="00731B04" w:rsidRDefault="00AD04B9" w:rsidP="002C5FB6">
                        <w:pPr>
                          <w:pStyle w:val="NormalWeb"/>
                          <w:spacing w:before="0" w:beforeAutospacing="0" w:after="0" w:afterAutospacing="0"/>
                          <w:jc w:val="center"/>
                          <w:rPr>
                            <w:color w:val="000000"/>
                            <w:sz w:val="20"/>
                            <w:szCs w:val="20"/>
                          </w:rPr>
                        </w:pPr>
                        <w:r>
                          <w:rPr>
                            <w:color w:val="000000"/>
                            <w:sz w:val="20"/>
                            <w:szCs w:val="20"/>
                          </w:rPr>
                          <w:t>3</w:t>
                        </w:r>
                        <w:r w:rsidRPr="00731B04">
                          <w:rPr>
                            <w:color w:val="000000"/>
                            <w:sz w:val="20"/>
                            <w:szCs w:val="20"/>
                          </w:rPr>
                          <w:t>.782</w:t>
                        </w:r>
                      </w:p>
                    </w:tc>
                    <w:tc>
                      <w:tcPr>
                        <w:tcW w:w="1030"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AD04B9" w:rsidRPr="00731B04" w:rsidRDefault="00AD04B9"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AD04B9" w:rsidRPr="00731B04" w:rsidRDefault="00AD04B9"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AD04B9" w:rsidRPr="00C17126" w:rsidRDefault="00AD04B9" w:rsidP="00C17126">
                  <w:pPr>
                    <w:pStyle w:val="Caption"/>
                    <w:rPr>
                      <w:i w:val="0"/>
                      <w:sz w:val="20"/>
                      <w:szCs w:val="20"/>
                    </w:rPr>
                  </w:pPr>
                  <w:bookmarkStart w:id="14" w:name="_Ref437866524"/>
                  <w:r w:rsidRPr="00C17126">
                    <w:rPr>
                      <w:i w:val="0"/>
                      <w:sz w:val="20"/>
                      <w:szCs w:val="20"/>
                    </w:rPr>
                    <w:t xml:space="preserve">Table </w:t>
                  </w:r>
                  <w:r w:rsidRPr="00C17126">
                    <w:rPr>
                      <w:i w:val="0"/>
                      <w:sz w:val="20"/>
                      <w:szCs w:val="20"/>
                    </w:rPr>
                    <w:fldChar w:fldCharType="begin"/>
                  </w:r>
                  <w:r w:rsidRPr="00C17126">
                    <w:rPr>
                      <w:i w:val="0"/>
                      <w:sz w:val="20"/>
                      <w:szCs w:val="20"/>
                    </w:rPr>
                    <w:instrText xml:space="preserve"> SEQ Table \* ARABIC </w:instrText>
                  </w:r>
                  <w:r w:rsidRPr="00C17126">
                    <w:rPr>
                      <w:i w:val="0"/>
                      <w:sz w:val="20"/>
                      <w:szCs w:val="20"/>
                    </w:rPr>
                    <w:fldChar w:fldCharType="separate"/>
                  </w:r>
                  <w:r>
                    <w:rPr>
                      <w:i w:val="0"/>
                      <w:noProof/>
                      <w:sz w:val="20"/>
                      <w:szCs w:val="20"/>
                    </w:rPr>
                    <w:t>8</w:t>
                  </w:r>
                  <w:r w:rsidRPr="00C17126">
                    <w:rPr>
                      <w:i w:val="0"/>
                      <w:sz w:val="20"/>
                      <w:szCs w:val="20"/>
                    </w:rPr>
                    <w:fldChar w:fldCharType="end"/>
                  </w:r>
                  <w:bookmarkEnd w:id="14"/>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Additional sources of error in this study could have resulted from bad data collection. Although the book and movie data gathered was proofread and checked for errors, it is sti</w:t>
      </w:r>
      <w:r w:rsidR="00792123">
        <w:rPr>
          <w:color w:val="000000"/>
          <w:sz w:val="20"/>
          <w:szCs w:val="20"/>
        </w:rPr>
        <w:t>ll possible the</w:t>
      </w:r>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The best results we achieved were with a single Hidden Layer with twelve perceptrons. This ANN was determined to be able to predict Box Office Revenue within one order of magnitude with a probability of 0.857. Compared to the more accurate of the two previous works</w:t>
      </w:r>
      <w:r w:rsidR="0007059E">
        <w:rPr>
          <w:color w:val="000000"/>
        </w:rPr>
        <w:t xml:space="preserve"> </w:t>
      </w:r>
      <w:r w:rsidR="00AD04B9">
        <w:rPr>
          <w:color w:val="000000"/>
        </w:rPr>
        <w:fldChar w:fldCharType="begin"/>
      </w:r>
      <w:r w:rsidR="00AD04B9">
        <w:rPr>
          <w:color w:val="000000"/>
        </w:rPr>
        <w:instrText xml:space="preserve"> REF _Ref437864094 \r \h </w:instrText>
      </w:r>
      <w:r w:rsidR="00AD04B9">
        <w:rPr>
          <w:color w:val="000000"/>
        </w:rPr>
      </w:r>
      <w:r w:rsidR="00AD04B9">
        <w:rPr>
          <w:color w:val="000000"/>
        </w:rPr>
        <w:fldChar w:fldCharType="separate"/>
      </w:r>
      <w:r w:rsidR="00FE1479">
        <w:rPr>
          <w:color w:val="000000"/>
        </w:rPr>
        <w:t>[3]</w:t>
      </w:r>
      <w:r w:rsidR="00AD04B9">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lastRenderedPageBreak/>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 xml:space="preserve">Further analysis of the resulting weights after training the ANN could give useful insights into the relationship between specific input and output classes as well as identify subject matter that improves the success of films. Also, increasing the size of the Dataset by finding more sources of movie and book data could create a more even representation of the each input and </w:t>
      </w:r>
      <w:r w:rsidRPr="006B7D2B">
        <w:rPr>
          <w:color w:val="000000"/>
        </w:rPr>
        <w:lastRenderedPageBreak/>
        <w:t>output class. Continued experimentation will undoubtedly uncover more elements of literature that support successful film adaptation.</w:t>
      </w:r>
    </w:p>
    <w:p w:rsidR="003165B5" w:rsidRPr="00171016" w:rsidRDefault="003165B5" w:rsidP="00BB0D6B">
      <w:pPr>
        <w:pStyle w:val="Heading1"/>
        <w:numPr>
          <w:ilvl w:val="0"/>
          <w:numId w:val="0"/>
        </w:numPr>
      </w:pPr>
      <w:r w:rsidRPr="00171016">
        <w:t>References</w:t>
      </w:r>
    </w:p>
    <w:p w:rsidR="00136AE6" w:rsidRPr="00C57FDA" w:rsidRDefault="00171016" w:rsidP="00BB0D6B">
      <w:pPr>
        <w:pStyle w:val="references"/>
        <w:spacing w:line="240" w:lineRule="auto"/>
        <w:jc w:val="left"/>
        <w:rPr>
          <w:sz w:val="20"/>
          <w:szCs w:val="20"/>
        </w:rPr>
      </w:pPr>
      <w:bookmarkStart w:id="15" w:name="_Ref437887206"/>
      <w:bookmarkStart w:id="16" w:name="_Ref437864071"/>
      <w:r w:rsidRPr="00C57FDA">
        <w:rPr>
          <w:sz w:val="20"/>
          <w:szCs w:val="20"/>
        </w:rPr>
        <w:t xml:space="preserve">"What Should Hollywood Remake Next?" </w:t>
      </w:r>
      <w:r w:rsidRPr="00C57FDA">
        <w:rPr>
          <w:i/>
          <w:iCs/>
          <w:sz w:val="20"/>
          <w:szCs w:val="20"/>
        </w:rPr>
        <w:t>Time Magazine</w:t>
      </w:r>
      <w:r w:rsidR="00F7223F" w:rsidRPr="00C57FDA">
        <w:rPr>
          <w:sz w:val="20"/>
          <w:szCs w:val="20"/>
        </w:rPr>
        <w:t xml:space="preserve"> 25 June 2015: 91</w:t>
      </w:r>
      <w:r w:rsidRPr="00C57FDA">
        <w:rPr>
          <w:sz w:val="20"/>
          <w:szCs w:val="20"/>
        </w:rPr>
        <w:t>. Print.</w:t>
      </w:r>
      <w:bookmarkEnd w:id="15"/>
    </w:p>
    <w:p w:rsidR="00331E84" w:rsidRDefault="00331E84" w:rsidP="00331E84">
      <w:pPr>
        <w:pStyle w:val="references"/>
        <w:spacing w:line="240" w:lineRule="auto"/>
        <w:jc w:val="left"/>
        <w:rPr>
          <w:sz w:val="20"/>
          <w:szCs w:val="20"/>
        </w:rPr>
      </w:pPr>
      <w:bookmarkStart w:id="17" w:name="_Ref437887792"/>
      <w:bookmarkStart w:id="18" w:name="_Ref437876296"/>
      <w:r w:rsidRPr="00C57FDA">
        <w:rPr>
          <w:sz w:val="20"/>
          <w:szCs w:val="20"/>
        </w:rPr>
        <w:t xml:space="preserve">Sharda, Ramesh, and Dursun Delen. "Predicting box-office success of motion pictures with neural networks." </w:t>
      </w:r>
      <w:r w:rsidRPr="00C57FDA">
        <w:rPr>
          <w:i/>
          <w:iCs/>
          <w:sz w:val="20"/>
          <w:szCs w:val="20"/>
        </w:rPr>
        <w:t>Expert Systems with Applications</w:t>
      </w:r>
      <w:r w:rsidRPr="00C57FDA">
        <w:rPr>
          <w:sz w:val="20"/>
          <w:szCs w:val="20"/>
        </w:rPr>
        <w:t xml:space="preserve"> 30.2 (2006): 243-254.</w:t>
      </w:r>
      <w:bookmarkEnd w:id="17"/>
    </w:p>
    <w:p w:rsidR="00331E84" w:rsidRPr="00331E84" w:rsidRDefault="00331E84" w:rsidP="00331E84">
      <w:pPr>
        <w:pStyle w:val="NoSpacing"/>
        <w:numPr>
          <w:ilvl w:val="0"/>
          <w:numId w:val="4"/>
        </w:numPr>
        <w:rPr>
          <w:rFonts w:ascii="Times New Roman" w:hAnsi="Times New Roman"/>
          <w:sz w:val="20"/>
          <w:szCs w:val="20"/>
        </w:rPr>
      </w:pPr>
      <w:bookmarkStart w:id="19" w:name="_Ref437864094"/>
      <w:r w:rsidRPr="00171016">
        <w:rPr>
          <w:rFonts w:ascii="Times New Roman" w:hAnsi="Times New Roman"/>
          <w:color w:val="000000"/>
          <w:sz w:val="20"/>
          <w:szCs w:val="20"/>
        </w:rPr>
        <w:t xml:space="preserve">Zhang, Li, Jianhua Luo, and Suying Yang. "Forecasting box office revenue of movies with BP neural network." </w:t>
      </w:r>
      <w:r w:rsidRPr="00171016">
        <w:rPr>
          <w:rFonts w:ascii="Times New Roman" w:hAnsi="Times New Roman"/>
          <w:i/>
          <w:iCs/>
          <w:color w:val="000000"/>
          <w:sz w:val="20"/>
          <w:szCs w:val="20"/>
        </w:rPr>
        <w:t>Expert Systems with Applications</w:t>
      </w:r>
      <w:r w:rsidRPr="00171016">
        <w:rPr>
          <w:rFonts w:ascii="Times New Roman" w:hAnsi="Times New Roman"/>
          <w:color w:val="000000"/>
          <w:sz w:val="20"/>
          <w:szCs w:val="20"/>
        </w:rPr>
        <w:t xml:space="preserve"> 36.3 (2009): 6580-6587.</w:t>
      </w:r>
      <w:bookmarkEnd w:id="19"/>
    </w:p>
    <w:p w:rsidR="00310555" w:rsidRPr="00C57FDA" w:rsidRDefault="00310555" w:rsidP="00BB0D6B">
      <w:pPr>
        <w:pStyle w:val="references"/>
        <w:spacing w:line="240" w:lineRule="auto"/>
        <w:jc w:val="left"/>
        <w:rPr>
          <w:sz w:val="20"/>
          <w:szCs w:val="20"/>
        </w:rPr>
      </w:pPr>
      <w:r w:rsidRPr="00C57FDA">
        <w:rPr>
          <w:sz w:val="20"/>
          <w:szCs w:val="20"/>
          <w:shd w:val="clear" w:color="auto" w:fill="FFFFFF"/>
        </w:rPr>
        <w:t>Lee</w:t>
      </w:r>
      <w:r w:rsidR="00C57FDA">
        <w:rPr>
          <w:sz w:val="20"/>
          <w:szCs w:val="20"/>
          <w:shd w:val="clear" w:color="auto" w:fill="FFFFFF"/>
        </w:rPr>
        <w:t>, Kyung Jae, and Woojin Chang. "</w:t>
      </w:r>
      <w:r w:rsidRPr="00C57FDA">
        <w:rPr>
          <w:sz w:val="20"/>
          <w:szCs w:val="20"/>
          <w:shd w:val="clear" w:color="auto" w:fill="FFFFFF"/>
        </w:rPr>
        <w:t>Bayesian belief network for box-office performance: A case study on Korean movies.</w:t>
      </w:r>
      <w:r w:rsidR="00C57FDA">
        <w:rPr>
          <w:sz w:val="20"/>
          <w:szCs w:val="20"/>
          <w:shd w:val="clear" w:color="auto" w:fill="FFFFFF"/>
        </w:rPr>
        <w:t>"</w:t>
      </w:r>
      <w:r w:rsidRPr="00C57FDA">
        <w:rPr>
          <w:rStyle w:val="apple-converted-space"/>
          <w:sz w:val="20"/>
          <w:szCs w:val="20"/>
          <w:shd w:val="clear" w:color="auto" w:fill="FFFFFF"/>
        </w:rPr>
        <w:t> </w:t>
      </w:r>
      <w:r w:rsidRPr="00C57FDA">
        <w:rPr>
          <w:i/>
          <w:iCs/>
          <w:sz w:val="20"/>
          <w:szCs w:val="20"/>
          <w:shd w:val="clear" w:color="auto" w:fill="FFFFFF"/>
        </w:rPr>
        <w:t>Expert Systems with Applications</w:t>
      </w:r>
      <w:r w:rsidRPr="00C57FDA">
        <w:rPr>
          <w:rStyle w:val="apple-converted-space"/>
          <w:sz w:val="20"/>
          <w:szCs w:val="20"/>
          <w:shd w:val="clear" w:color="auto" w:fill="FFFFFF"/>
        </w:rPr>
        <w:t> </w:t>
      </w:r>
      <w:r w:rsidRPr="00C57FDA">
        <w:rPr>
          <w:sz w:val="20"/>
          <w:szCs w:val="20"/>
          <w:shd w:val="clear" w:color="auto" w:fill="FFFFFF"/>
        </w:rPr>
        <w:t>36.1 (2009): 280-291.</w:t>
      </w:r>
    </w:p>
    <w:p w:rsidR="00C57FDA" w:rsidRPr="006479DA" w:rsidRDefault="00C57FDA" w:rsidP="00BB0D6B">
      <w:pPr>
        <w:pStyle w:val="references"/>
        <w:spacing w:line="240" w:lineRule="auto"/>
        <w:jc w:val="left"/>
        <w:rPr>
          <w:sz w:val="20"/>
          <w:szCs w:val="20"/>
        </w:rPr>
      </w:pPr>
      <w:r w:rsidRPr="00C57FDA">
        <w:rPr>
          <w:sz w:val="20"/>
          <w:szCs w:val="20"/>
          <w:shd w:val="clear" w:color="auto" w:fill="FFFFFF"/>
        </w:rPr>
        <w:t>Delen, Dursun, Ram</w:t>
      </w:r>
      <w:r>
        <w:rPr>
          <w:sz w:val="20"/>
          <w:szCs w:val="20"/>
          <w:shd w:val="clear" w:color="auto" w:fill="FFFFFF"/>
        </w:rPr>
        <w:t>esh Sharda, and Prajeeb Kumar. "</w:t>
      </w:r>
      <w:r w:rsidRPr="00C57FDA">
        <w:rPr>
          <w:sz w:val="20"/>
          <w:szCs w:val="20"/>
          <w:shd w:val="clear" w:color="auto" w:fill="FFFFFF"/>
        </w:rPr>
        <w:t>Movie forecast guru: a web-based DSS for Hollywood managers.</w:t>
      </w:r>
      <w:r>
        <w:rPr>
          <w:sz w:val="20"/>
          <w:szCs w:val="20"/>
          <w:shd w:val="clear" w:color="auto" w:fill="FFFFFF"/>
        </w:rPr>
        <w:t>"</w:t>
      </w:r>
      <w:r w:rsidRPr="00C57FDA">
        <w:rPr>
          <w:rStyle w:val="apple-converted-space"/>
          <w:sz w:val="20"/>
          <w:szCs w:val="20"/>
          <w:shd w:val="clear" w:color="auto" w:fill="FFFFFF"/>
        </w:rPr>
        <w:t> </w:t>
      </w:r>
      <w:r w:rsidRPr="00C57FDA">
        <w:rPr>
          <w:i/>
          <w:iCs/>
          <w:sz w:val="20"/>
          <w:szCs w:val="20"/>
          <w:shd w:val="clear" w:color="auto" w:fill="FFFFFF"/>
        </w:rPr>
        <w:t>Decision Support Systems</w:t>
      </w:r>
      <w:r w:rsidRPr="00C57FDA">
        <w:rPr>
          <w:rStyle w:val="apple-converted-space"/>
          <w:sz w:val="20"/>
          <w:szCs w:val="20"/>
          <w:shd w:val="clear" w:color="auto" w:fill="FFFFFF"/>
        </w:rPr>
        <w:t> </w:t>
      </w:r>
      <w:r w:rsidRPr="00C57FDA">
        <w:rPr>
          <w:sz w:val="20"/>
          <w:szCs w:val="20"/>
          <w:shd w:val="clear" w:color="auto" w:fill="FFFFFF"/>
        </w:rPr>
        <w:t>43.4 (2007): 1151-1170.</w:t>
      </w:r>
    </w:p>
    <w:p w:rsidR="006479DA" w:rsidRPr="006479DA" w:rsidRDefault="006479DA" w:rsidP="006479DA">
      <w:pPr>
        <w:pStyle w:val="NoSpacing"/>
        <w:numPr>
          <w:ilvl w:val="0"/>
          <w:numId w:val="4"/>
        </w:numPr>
        <w:rPr>
          <w:rFonts w:ascii="Times New Roman" w:hAnsi="Times New Roman"/>
          <w:sz w:val="20"/>
          <w:szCs w:val="20"/>
        </w:rPr>
      </w:pPr>
      <w:bookmarkStart w:id="20" w:name="_Ref437892738"/>
      <w:r>
        <w:rPr>
          <w:rFonts w:ascii="Times New Roman" w:hAnsi="Times New Roman"/>
          <w:sz w:val="20"/>
          <w:szCs w:val="20"/>
        </w:rPr>
        <w:t>"</w:t>
      </w:r>
      <w:r w:rsidRPr="009D5601">
        <w:rPr>
          <w:rFonts w:ascii="Times New Roman" w:hAnsi="Times New Roman"/>
          <w:sz w:val="20"/>
          <w:szCs w:val="20"/>
        </w:rPr>
        <w:t>1.12. Multic</w:t>
      </w:r>
      <w:r>
        <w:rPr>
          <w:rFonts w:ascii="Times New Roman" w:hAnsi="Times New Roman"/>
          <w:sz w:val="20"/>
          <w:szCs w:val="20"/>
        </w:rPr>
        <w:t>lass and Multilabel Algorithms."</w:t>
      </w:r>
      <w:r w:rsidRPr="009D5601">
        <w:rPr>
          <w:rFonts w:ascii="Times New Roman" w:hAnsi="Times New Roman"/>
          <w:sz w:val="20"/>
          <w:szCs w:val="20"/>
        </w:rPr>
        <w:t xml:space="preserve"> </w:t>
      </w:r>
      <w:r w:rsidRPr="009D5601">
        <w:rPr>
          <w:rFonts w:ascii="Times New Roman" w:hAnsi="Times New Roman"/>
          <w:i/>
          <w:iCs/>
          <w:sz w:val="20"/>
          <w:szCs w:val="20"/>
        </w:rPr>
        <w:t>Scikit Learn</w:t>
      </w:r>
      <w:r w:rsidRPr="009D5601">
        <w:rPr>
          <w:rFonts w:ascii="Times New Roman" w:hAnsi="Times New Roman"/>
          <w:sz w:val="20"/>
          <w:szCs w:val="20"/>
        </w:rPr>
        <w:t>. Scikit-learn Developers, 2014. Web. 14 Dec. 2015.</w:t>
      </w:r>
      <w:bookmarkEnd w:id="20"/>
    </w:p>
    <w:p w:rsidR="003F1BD8" w:rsidRPr="003F1BD8" w:rsidRDefault="003F1BD8" w:rsidP="003F1BD8">
      <w:pPr>
        <w:pStyle w:val="NoSpacing"/>
        <w:numPr>
          <w:ilvl w:val="0"/>
          <w:numId w:val="4"/>
        </w:numPr>
        <w:rPr>
          <w:rFonts w:ascii="Times New Roman" w:hAnsi="Times New Roman"/>
          <w:sz w:val="20"/>
          <w:szCs w:val="20"/>
        </w:rPr>
      </w:pPr>
      <w:bookmarkStart w:id="21" w:name="_Ref437869324"/>
      <w:r w:rsidRPr="00171016">
        <w:rPr>
          <w:rFonts w:ascii="Times New Roman" w:hAnsi="Times New Roman"/>
          <w:sz w:val="20"/>
          <w:szCs w:val="20"/>
        </w:rPr>
        <w:t xml:space="preserve">Malagoli, Alberto. </w:t>
      </w:r>
      <w:r w:rsidRPr="00171016">
        <w:rPr>
          <w:rFonts w:ascii="Times New Roman" w:hAnsi="Times New Roman"/>
          <w:i/>
          <w:iCs/>
          <w:sz w:val="20"/>
          <w:szCs w:val="20"/>
        </w:rPr>
        <w:t>IMDbPY</w:t>
      </w:r>
      <w:r w:rsidRPr="00171016">
        <w:rPr>
          <w:rFonts w:ascii="Times New Roman" w:hAnsi="Times New Roman"/>
          <w:sz w:val="20"/>
          <w:szCs w:val="20"/>
        </w:rPr>
        <w:t>. Studio DE&amp;P, n.d.. Web. 28 Nov. 2015.</w:t>
      </w:r>
      <w:bookmarkEnd w:id="21"/>
    </w:p>
    <w:bookmarkEnd w:id="16"/>
    <w:bookmarkEnd w:id="18"/>
    <w:p w:rsidR="00445447" w:rsidRPr="00171016" w:rsidRDefault="00445447" w:rsidP="00BB0D6B">
      <w:pPr>
        <w:pStyle w:val="references"/>
        <w:spacing w:line="240" w:lineRule="auto"/>
        <w:jc w:val="left"/>
        <w:rPr>
          <w:sz w:val="20"/>
          <w:szCs w:val="20"/>
        </w:rPr>
      </w:pPr>
      <w:r w:rsidRPr="00171016">
        <w:rPr>
          <w:color w:val="000000"/>
          <w:sz w:val="20"/>
          <w:szCs w:val="20"/>
        </w:rPr>
        <w:t xml:space="preserve">Rojas, Raul. </w:t>
      </w:r>
      <w:r w:rsidRPr="00171016">
        <w:rPr>
          <w:i/>
          <w:iCs/>
          <w:color w:val="000000"/>
          <w:sz w:val="20"/>
          <w:szCs w:val="20"/>
        </w:rPr>
        <w:t>Neural Networks: A Systematic Introduction</w:t>
      </w:r>
      <w:r w:rsidRPr="00171016">
        <w:rPr>
          <w:color w:val="000000"/>
          <w:sz w:val="20"/>
          <w:szCs w:val="20"/>
        </w:rPr>
        <w:t>. Berlin: Springer-Verlag, 1996. Print.</w:t>
      </w:r>
    </w:p>
    <w:p w:rsidR="00173765" w:rsidRDefault="00445447" w:rsidP="00BB0D6B">
      <w:pPr>
        <w:pStyle w:val="NoSpacing"/>
        <w:numPr>
          <w:ilvl w:val="0"/>
          <w:numId w:val="4"/>
        </w:numPr>
        <w:rPr>
          <w:rFonts w:ascii="Times New Roman" w:hAnsi="Times New Roman"/>
          <w:sz w:val="20"/>
          <w:szCs w:val="20"/>
        </w:rPr>
      </w:pPr>
      <w:r w:rsidRPr="00171016">
        <w:rPr>
          <w:rFonts w:ascii="Times New Roman" w:hAnsi="Times New Roman"/>
          <w:color w:val="000000"/>
          <w:sz w:val="20"/>
          <w:szCs w:val="20"/>
        </w:rPr>
        <w:t xml:space="preserve">MacLeod, Christopher. "An Introduction to Practical Neural Networks and Genetic Algorithms For Engineers and </w:t>
      </w:r>
      <w:r w:rsidRPr="009D5601">
        <w:rPr>
          <w:rFonts w:ascii="Times New Roman" w:hAnsi="Times New Roman"/>
          <w:color w:val="000000"/>
          <w:sz w:val="20"/>
          <w:szCs w:val="20"/>
        </w:rPr>
        <w:t>Scientists." (2010).</w:t>
      </w:r>
    </w:p>
    <w:p w:rsidR="006479DA" w:rsidRPr="006479DA" w:rsidRDefault="006479DA" w:rsidP="006479DA">
      <w:pPr>
        <w:pStyle w:val="NoSpacing"/>
        <w:rPr>
          <w:rFonts w:ascii="Times New Roman" w:hAnsi="Times New Roman"/>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Wikimedia Foundation, n.d. Web. 28 Nov. 2015.</w:t>
      </w:r>
    </w:p>
    <w:p w:rsidR="00173765" w:rsidRPr="006B7D2B" w:rsidRDefault="006B7D2B" w:rsidP="00BB0D6B">
      <w:pPr>
        <w:pStyle w:val="NoSpacing"/>
        <w:numPr>
          <w:ilvl w:val="0"/>
          <w:numId w:val="4"/>
        </w:numPr>
        <w:rPr>
          <w:rFonts w:ascii="Times New Roman" w:hAnsi="Times New Roman"/>
          <w:sz w:val="20"/>
          <w:szCs w:val="20"/>
        </w:rPr>
      </w:pPr>
      <w:bookmarkStart w:id="22" w:name="_Ref437888944"/>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bookmarkEnd w:id="22"/>
    </w:p>
    <w:p w:rsidR="0075722E" w:rsidRPr="006B7D2B" w:rsidRDefault="006B7D2B" w:rsidP="00BB0D6B">
      <w:pPr>
        <w:pStyle w:val="NoSpacing"/>
        <w:numPr>
          <w:ilvl w:val="0"/>
          <w:numId w:val="4"/>
        </w:numPr>
        <w:rPr>
          <w:rFonts w:ascii="Times New Roman" w:hAnsi="Times New Roman"/>
          <w:sz w:val="20"/>
          <w:szCs w:val="20"/>
        </w:rPr>
      </w:pPr>
      <w:bookmarkStart w:id="23" w:name="_Ref437869298"/>
      <w:r w:rsidRPr="006B7D2B">
        <w:rPr>
          <w:rFonts w:ascii="Times New Roman" w:hAnsi="Times New Roman"/>
          <w:i/>
          <w:iCs/>
          <w:sz w:val="20"/>
          <w:szCs w:val="20"/>
        </w:rPr>
        <w:t>IMDb</w:t>
      </w:r>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23"/>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5CF" w:rsidRDefault="005815CF" w:rsidP="0046755F">
      <w:r>
        <w:separator/>
      </w:r>
    </w:p>
  </w:endnote>
  <w:endnote w:type="continuationSeparator" w:id="0">
    <w:p w:rsidR="005815CF" w:rsidRDefault="005815CF" w:rsidP="004675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4B9" w:rsidRPr="00BD277E" w:rsidRDefault="00AD04B9" w:rsidP="00AA5E6E">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5CF" w:rsidRDefault="005815CF" w:rsidP="0046755F">
      <w:r>
        <w:separator/>
      </w:r>
    </w:p>
  </w:footnote>
  <w:footnote w:type="continuationSeparator" w:id="0">
    <w:p w:rsidR="005815CF" w:rsidRDefault="005815CF" w:rsidP="0046755F">
      <w:r>
        <w:continuationSeparator/>
      </w:r>
    </w:p>
  </w:footnote>
  <w:footnote w:id="1">
    <w:p w:rsidR="00AD04B9" w:rsidRPr="00BA3871" w:rsidRDefault="00AD04B9" w:rsidP="00034838">
      <w:pPr>
        <w:pStyle w:val="FootnoteText"/>
        <w:jc w:val="left"/>
        <w:rPr>
          <w:sz w:val="16"/>
          <w:szCs w:val="16"/>
        </w:rPr>
      </w:pPr>
      <w:r w:rsidRPr="00BA3871">
        <w:rPr>
          <w:rStyle w:val="FootnoteReference"/>
          <w:sz w:val="16"/>
          <w:szCs w:val="16"/>
        </w:rPr>
        <w:footnoteRef/>
      </w:r>
      <w:r w:rsidRPr="00BA3871">
        <w:rPr>
          <w:sz w:val="16"/>
          <w:szCs w:val="16"/>
        </w:rPr>
        <w:t xml:space="preserve"> https://en.wikipedia.org/wiki/List_of_fiction_works_made_into_feature_films _%280-9%29_%26_%28A-C%29</w:t>
      </w:r>
    </w:p>
    <w:p w:rsidR="00AD04B9" w:rsidRPr="00BA3871" w:rsidRDefault="00AD04B9" w:rsidP="00034838">
      <w:pPr>
        <w:pStyle w:val="FootnoteText"/>
        <w:jc w:val="left"/>
        <w:rPr>
          <w:sz w:val="16"/>
          <w:szCs w:val="16"/>
        </w:rPr>
      </w:pPr>
    </w:p>
    <w:p w:rsidR="00AD04B9" w:rsidRPr="00BA3871" w:rsidRDefault="00AD04B9" w:rsidP="00034838">
      <w:pPr>
        <w:pStyle w:val="FootnoteText"/>
        <w:jc w:val="left"/>
        <w:rPr>
          <w:sz w:val="16"/>
          <w:szCs w:val="16"/>
        </w:rPr>
      </w:pPr>
      <w:r w:rsidRPr="00BA3871">
        <w:rPr>
          <w:sz w:val="16"/>
          <w:szCs w:val="16"/>
        </w:rPr>
        <w:t>https://en.wikipedia.org/wiki/List_of_fiction_works_made_into_feature_films_%28D-J%29</w:t>
      </w:r>
    </w:p>
    <w:p w:rsidR="00AD04B9" w:rsidRPr="00BA3871" w:rsidRDefault="00AD04B9" w:rsidP="00034838">
      <w:pPr>
        <w:pStyle w:val="FootnoteText"/>
        <w:jc w:val="left"/>
        <w:rPr>
          <w:sz w:val="16"/>
          <w:szCs w:val="16"/>
        </w:rPr>
      </w:pPr>
    </w:p>
    <w:p w:rsidR="00AD04B9" w:rsidRPr="00BA3871" w:rsidRDefault="00AD04B9" w:rsidP="00034838">
      <w:pPr>
        <w:pStyle w:val="Footer"/>
        <w:jc w:val="left"/>
        <w:rPr>
          <w:sz w:val="16"/>
          <w:szCs w:val="16"/>
        </w:rPr>
      </w:pPr>
      <w:r w:rsidRPr="00BA3871">
        <w:rPr>
          <w:sz w:val="16"/>
          <w:szCs w:val="16"/>
        </w:rPr>
        <w:t>https://en.wikipedia.org/wiki/List_of_fiction_works_made_into_feature_films_%28K-R%29</w:t>
      </w:r>
    </w:p>
    <w:p w:rsidR="00AD04B9" w:rsidRPr="00BA3871" w:rsidRDefault="00AD04B9" w:rsidP="00034838">
      <w:pPr>
        <w:pStyle w:val="Footer"/>
        <w:jc w:val="left"/>
        <w:rPr>
          <w:sz w:val="16"/>
          <w:szCs w:val="16"/>
        </w:rPr>
      </w:pPr>
    </w:p>
    <w:p w:rsidR="00AD04B9" w:rsidRPr="00BA3871" w:rsidRDefault="00AD04B9" w:rsidP="00BA3871">
      <w:pPr>
        <w:pStyle w:val="Footer"/>
        <w:jc w:val="left"/>
        <w:rPr>
          <w:sz w:val="16"/>
          <w:szCs w:val="16"/>
        </w:rPr>
      </w:pPr>
      <w:r w:rsidRPr="00BA3871">
        <w:rPr>
          <w:sz w:val="16"/>
          <w:szCs w:val="16"/>
        </w:rPr>
        <w:t>https://en.wikipedia.org/wiki/List_of_fiction_works_made_into_feature_films_%28S-Z%29</w:t>
      </w:r>
    </w:p>
    <w:p w:rsidR="00AD04B9" w:rsidRPr="00BA3871" w:rsidRDefault="00AD04B9" w:rsidP="00034838">
      <w:pPr>
        <w:pStyle w:val="FootnoteText"/>
        <w:jc w:val="left"/>
        <w:rPr>
          <w:sz w:val="16"/>
          <w:szCs w:val="16"/>
        </w:rPr>
      </w:pPr>
    </w:p>
  </w:footnote>
  <w:footnote w:id="2">
    <w:p w:rsidR="00AD04B9" w:rsidRPr="00BA3871" w:rsidRDefault="00AD04B9" w:rsidP="00DB7932">
      <w:pPr>
        <w:pStyle w:val="Footer"/>
        <w:jc w:val="left"/>
        <w:rPr>
          <w:sz w:val="16"/>
          <w:szCs w:val="16"/>
        </w:rPr>
      </w:pPr>
      <w:r w:rsidRPr="00BA3871">
        <w:rPr>
          <w:rStyle w:val="FootnoteReference"/>
          <w:sz w:val="16"/>
          <w:szCs w:val="16"/>
        </w:rPr>
        <w:footnoteRef/>
      </w:r>
      <w:r w:rsidRPr="00BA3871">
        <w:rPr>
          <w:sz w:val="16"/>
          <w:szCs w:val="16"/>
        </w:rPr>
        <w:t xml:space="preserve"> Attachment 1 – WikiScraper.java, Attachment 4 – BasicScraper.java</w:t>
      </w:r>
    </w:p>
  </w:footnote>
  <w:footnote w:id="3">
    <w:p w:rsidR="00AD04B9" w:rsidRDefault="00AD04B9" w:rsidP="00BA3871">
      <w:pPr>
        <w:pStyle w:val="FootnoteText"/>
        <w:jc w:val="left"/>
      </w:pPr>
      <w:r w:rsidRPr="00BA3871">
        <w:rPr>
          <w:rStyle w:val="FootnoteReference"/>
          <w:sz w:val="16"/>
          <w:szCs w:val="16"/>
        </w:rPr>
        <w:footnoteRef/>
      </w:r>
      <w:r w:rsidRPr="00BA3871">
        <w:rPr>
          <w:sz w:val="16"/>
          <w:szCs w:val="16"/>
        </w:rPr>
        <w:t xml:space="preserve"> Attach</w:t>
      </w:r>
      <w:r>
        <w:rPr>
          <w:sz w:val="16"/>
          <w:szCs w:val="16"/>
        </w:rPr>
        <w:t>ment 13 - Book-To-Movie Index.csv</w:t>
      </w:r>
    </w:p>
  </w:footnote>
  <w:footnote w:id="4">
    <w:p w:rsidR="00AD04B9" w:rsidRPr="00034838" w:rsidRDefault="00AD04B9"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5">
    <w:p w:rsidR="00AD04B9" w:rsidRPr="00C57FDA" w:rsidRDefault="00AD04B9" w:rsidP="00C57FDA">
      <w:pPr>
        <w:pStyle w:val="FootnoteText"/>
        <w:jc w:val="left"/>
        <w:rPr>
          <w:sz w:val="16"/>
          <w:szCs w:val="16"/>
        </w:rPr>
      </w:pPr>
      <w:r w:rsidRPr="00C57FDA">
        <w:rPr>
          <w:rStyle w:val="FootnoteReference"/>
          <w:sz w:val="16"/>
          <w:szCs w:val="16"/>
        </w:rPr>
        <w:footnoteRef/>
      </w:r>
      <w:r w:rsidRPr="00C57FDA">
        <w:rPr>
          <w:sz w:val="16"/>
          <w:szCs w:val="16"/>
        </w:rPr>
        <w:t xml:space="preserve"> </w:t>
      </w:r>
      <w:r>
        <w:rPr>
          <w:sz w:val="16"/>
          <w:szCs w:val="16"/>
        </w:rPr>
        <w:t>Attachments 9 - BookDataFinal.csv, Attachment 10 - MovieDataFinal.csv</w:t>
      </w:r>
    </w:p>
  </w:footnote>
  <w:footnote w:id="6">
    <w:p w:rsidR="00AD04B9" w:rsidRPr="00801DB4" w:rsidRDefault="00AD04B9" w:rsidP="00890FE0">
      <w:pPr>
        <w:pStyle w:val="FootnoteText"/>
        <w:jc w:val="left"/>
        <w:rPr>
          <w:sz w:val="16"/>
          <w:szCs w:val="16"/>
        </w:rPr>
      </w:pPr>
      <w:r w:rsidRPr="00801DB4">
        <w:rPr>
          <w:rStyle w:val="FootnoteReference"/>
          <w:sz w:val="16"/>
          <w:szCs w:val="16"/>
        </w:rPr>
        <w:footnoteRef/>
      </w:r>
      <w:r w:rsidRPr="00801DB4">
        <w:rPr>
          <w:sz w:val="16"/>
          <w:szCs w:val="16"/>
        </w:rPr>
        <w:t xml:space="preserve"> Attachment 3 - IMDbScraper.java, Attachment 4 - BasicScraper.java</w:t>
      </w:r>
    </w:p>
  </w:footnote>
  <w:footnote w:id="7">
    <w:p w:rsidR="00AD04B9" w:rsidRPr="00801DB4" w:rsidRDefault="00AD04B9" w:rsidP="009B16D7">
      <w:pPr>
        <w:pStyle w:val="FootnoteText"/>
        <w:jc w:val="left"/>
        <w:rPr>
          <w:sz w:val="16"/>
          <w:szCs w:val="16"/>
        </w:rPr>
      </w:pPr>
      <w:r w:rsidRPr="00801DB4">
        <w:rPr>
          <w:rStyle w:val="FootnoteReference"/>
          <w:sz w:val="16"/>
          <w:szCs w:val="16"/>
        </w:rPr>
        <w:footnoteRef/>
      </w:r>
      <w:r w:rsidRPr="00801DB4">
        <w:rPr>
          <w:sz w:val="16"/>
          <w:szCs w:val="16"/>
        </w:rPr>
        <w:t xml:space="preserve"> Attachment 11 - imdbInfo.py, Attachment 12 - writeToCSV.py</w:t>
      </w:r>
    </w:p>
  </w:footnote>
  <w:footnote w:id="8">
    <w:p w:rsidR="00AD04B9" w:rsidRDefault="00AD04B9" w:rsidP="00801DB4">
      <w:pPr>
        <w:pStyle w:val="FootnoteText"/>
        <w:jc w:val="left"/>
      </w:pPr>
      <w:r w:rsidRPr="00801DB4">
        <w:rPr>
          <w:rStyle w:val="FootnoteReference"/>
          <w:sz w:val="16"/>
          <w:szCs w:val="16"/>
        </w:rPr>
        <w:footnoteRef/>
      </w:r>
      <w:r w:rsidRPr="00801DB4">
        <w:rPr>
          <w:sz w:val="16"/>
          <w:szCs w:val="16"/>
        </w:rPr>
        <w:t xml:space="preserve"> Attachment 13 - Book-To-Movie Index.csv</w:t>
      </w:r>
    </w:p>
  </w:footnote>
  <w:footnote w:id="9">
    <w:p w:rsidR="00AD04B9" w:rsidRDefault="00AD04B9"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10">
    <w:p w:rsidR="00AD04B9" w:rsidRDefault="00AD04B9"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11">
    <w:p w:rsidR="00AD04B9" w:rsidRPr="000528EA" w:rsidRDefault="00AD04B9"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4" fillcolor="white">
      <v:fill color="white"/>
    </o:shapedefaults>
  </w:hdrShapeDefaults>
  <w:footnotePr>
    <w:footnote w:id="-1"/>
    <w:footnote w:id="0"/>
  </w:footnotePr>
  <w:endnotePr>
    <w:endnote w:id="-1"/>
    <w:endnote w:id="0"/>
  </w:endnotePr>
  <w:compat>
    <w:useFELayout/>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1016"/>
    <w:rsid w:val="00173765"/>
    <w:rsid w:val="00181D9A"/>
    <w:rsid w:val="00195180"/>
    <w:rsid w:val="00195902"/>
    <w:rsid w:val="001B2DA1"/>
    <w:rsid w:val="001C4610"/>
    <w:rsid w:val="001D2D1E"/>
    <w:rsid w:val="001E5F3A"/>
    <w:rsid w:val="002039FC"/>
    <w:rsid w:val="00207ED0"/>
    <w:rsid w:val="00210EF8"/>
    <w:rsid w:val="00211F49"/>
    <w:rsid w:val="002137CC"/>
    <w:rsid w:val="00215163"/>
    <w:rsid w:val="00225701"/>
    <w:rsid w:val="002328AF"/>
    <w:rsid w:val="00233F23"/>
    <w:rsid w:val="00235C2F"/>
    <w:rsid w:val="00247CB0"/>
    <w:rsid w:val="00262410"/>
    <w:rsid w:val="00291AD2"/>
    <w:rsid w:val="002943B2"/>
    <w:rsid w:val="002A0649"/>
    <w:rsid w:val="002A1DFD"/>
    <w:rsid w:val="002A58EE"/>
    <w:rsid w:val="002A65D9"/>
    <w:rsid w:val="002B24D3"/>
    <w:rsid w:val="002C369E"/>
    <w:rsid w:val="002C572D"/>
    <w:rsid w:val="002C5FB6"/>
    <w:rsid w:val="002D206E"/>
    <w:rsid w:val="002D505B"/>
    <w:rsid w:val="0030392D"/>
    <w:rsid w:val="00306D90"/>
    <w:rsid w:val="00310555"/>
    <w:rsid w:val="0031192B"/>
    <w:rsid w:val="00314FAE"/>
    <w:rsid w:val="003165B5"/>
    <w:rsid w:val="003201CE"/>
    <w:rsid w:val="003202C8"/>
    <w:rsid w:val="00325ACC"/>
    <w:rsid w:val="003260DD"/>
    <w:rsid w:val="00331825"/>
    <w:rsid w:val="00331E84"/>
    <w:rsid w:val="00336915"/>
    <w:rsid w:val="0034721A"/>
    <w:rsid w:val="00362F9D"/>
    <w:rsid w:val="003766AD"/>
    <w:rsid w:val="003841C5"/>
    <w:rsid w:val="00394838"/>
    <w:rsid w:val="003A11AA"/>
    <w:rsid w:val="003B40A0"/>
    <w:rsid w:val="003C20F0"/>
    <w:rsid w:val="003C3BAB"/>
    <w:rsid w:val="003D057E"/>
    <w:rsid w:val="003D252E"/>
    <w:rsid w:val="003D26E3"/>
    <w:rsid w:val="003D4454"/>
    <w:rsid w:val="003E313D"/>
    <w:rsid w:val="003E70F0"/>
    <w:rsid w:val="003F1BD8"/>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815CF"/>
    <w:rsid w:val="005930E4"/>
    <w:rsid w:val="00594F25"/>
    <w:rsid w:val="00596530"/>
    <w:rsid w:val="005B1D43"/>
    <w:rsid w:val="005C1D19"/>
    <w:rsid w:val="005C35D5"/>
    <w:rsid w:val="005C4FA0"/>
    <w:rsid w:val="005C7610"/>
    <w:rsid w:val="005D202B"/>
    <w:rsid w:val="005D44FF"/>
    <w:rsid w:val="005E15C2"/>
    <w:rsid w:val="006320B2"/>
    <w:rsid w:val="00632AFA"/>
    <w:rsid w:val="00633815"/>
    <w:rsid w:val="00635CB5"/>
    <w:rsid w:val="00645543"/>
    <w:rsid w:val="006479DA"/>
    <w:rsid w:val="006517A2"/>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4519D"/>
    <w:rsid w:val="0075491B"/>
    <w:rsid w:val="00755200"/>
    <w:rsid w:val="0075722E"/>
    <w:rsid w:val="00766DC1"/>
    <w:rsid w:val="00773254"/>
    <w:rsid w:val="00774F99"/>
    <w:rsid w:val="00776C2A"/>
    <w:rsid w:val="00782785"/>
    <w:rsid w:val="00792123"/>
    <w:rsid w:val="007923D9"/>
    <w:rsid w:val="0079732A"/>
    <w:rsid w:val="007A3F9C"/>
    <w:rsid w:val="007B01CF"/>
    <w:rsid w:val="007B360A"/>
    <w:rsid w:val="007B78EE"/>
    <w:rsid w:val="007D0FDE"/>
    <w:rsid w:val="007D3003"/>
    <w:rsid w:val="007D4A2C"/>
    <w:rsid w:val="007D5800"/>
    <w:rsid w:val="007E0DF3"/>
    <w:rsid w:val="007F6ECA"/>
    <w:rsid w:val="00801DB4"/>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C6B4B"/>
    <w:rsid w:val="008D18BF"/>
    <w:rsid w:val="008D3899"/>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D5601"/>
    <w:rsid w:val="009E0D87"/>
    <w:rsid w:val="009E7CF4"/>
    <w:rsid w:val="00A019EA"/>
    <w:rsid w:val="00A065BD"/>
    <w:rsid w:val="00A07B7F"/>
    <w:rsid w:val="00A11775"/>
    <w:rsid w:val="00A30771"/>
    <w:rsid w:val="00A36CE0"/>
    <w:rsid w:val="00A449EE"/>
    <w:rsid w:val="00A45683"/>
    <w:rsid w:val="00A514ED"/>
    <w:rsid w:val="00A54F3D"/>
    <w:rsid w:val="00A80D25"/>
    <w:rsid w:val="00A84F01"/>
    <w:rsid w:val="00A97BA6"/>
    <w:rsid w:val="00AA0DE6"/>
    <w:rsid w:val="00AA5E6E"/>
    <w:rsid w:val="00AB5376"/>
    <w:rsid w:val="00AC22B5"/>
    <w:rsid w:val="00AD04B9"/>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73803"/>
    <w:rsid w:val="00B82279"/>
    <w:rsid w:val="00B82A30"/>
    <w:rsid w:val="00B86611"/>
    <w:rsid w:val="00B8756C"/>
    <w:rsid w:val="00B95EFB"/>
    <w:rsid w:val="00BA068A"/>
    <w:rsid w:val="00BA1276"/>
    <w:rsid w:val="00BA1EF6"/>
    <w:rsid w:val="00BA3871"/>
    <w:rsid w:val="00BB0D6B"/>
    <w:rsid w:val="00BB3135"/>
    <w:rsid w:val="00BB7D38"/>
    <w:rsid w:val="00BC6860"/>
    <w:rsid w:val="00BD277E"/>
    <w:rsid w:val="00BD4F6D"/>
    <w:rsid w:val="00BD5B1B"/>
    <w:rsid w:val="00BD5BE1"/>
    <w:rsid w:val="00BD5C7F"/>
    <w:rsid w:val="00BE522A"/>
    <w:rsid w:val="00BF3A54"/>
    <w:rsid w:val="00C00290"/>
    <w:rsid w:val="00C17126"/>
    <w:rsid w:val="00C25B58"/>
    <w:rsid w:val="00C30D0C"/>
    <w:rsid w:val="00C319FF"/>
    <w:rsid w:val="00C36B34"/>
    <w:rsid w:val="00C405EF"/>
    <w:rsid w:val="00C56BF9"/>
    <w:rsid w:val="00C57FDA"/>
    <w:rsid w:val="00C64E59"/>
    <w:rsid w:val="00C746EE"/>
    <w:rsid w:val="00C8386F"/>
    <w:rsid w:val="00C84337"/>
    <w:rsid w:val="00CA5458"/>
    <w:rsid w:val="00CB53FC"/>
    <w:rsid w:val="00CC0EC8"/>
    <w:rsid w:val="00CD1D20"/>
    <w:rsid w:val="00CD7417"/>
    <w:rsid w:val="00CF021C"/>
    <w:rsid w:val="00CF624C"/>
    <w:rsid w:val="00D000B2"/>
    <w:rsid w:val="00D0046A"/>
    <w:rsid w:val="00D1465C"/>
    <w:rsid w:val="00D14DE3"/>
    <w:rsid w:val="00D16D8A"/>
    <w:rsid w:val="00D16DDD"/>
    <w:rsid w:val="00D20C2B"/>
    <w:rsid w:val="00D27826"/>
    <w:rsid w:val="00D30D8A"/>
    <w:rsid w:val="00D53500"/>
    <w:rsid w:val="00D57FC6"/>
    <w:rsid w:val="00D61970"/>
    <w:rsid w:val="00D7250B"/>
    <w:rsid w:val="00D825ED"/>
    <w:rsid w:val="00D850F0"/>
    <w:rsid w:val="00D86642"/>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175C"/>
    <w:rsid w:val="00E62816"/>
    <w:rsid w:val="00E6442B"/>
    <w:rsid w:val="00E77AC0"/>
    <w:rsid w:val="00E811DF"/>
    <w:rsid w:val="00E86C3B"/>
    <w:rsid w:val="00EA3795"/>
    <w:rsid w:val="00EB1316"/>
    <w:rsid w:val="00EB5F01"/>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0DE"/>
    <w:rsid w:val="00F70B66"/>
    <w:rsid w:val="00F7223F"/>
    <w:rsid w:val="00F725AD"/>
    <w:rsid w:val="00F81406"/>
    <w:rsid w:val="00F83B44"/>
    <w:rsid w:val="00F87443"/>
    <w:rsid w:val="00FA155D"/>
    <w:rsid w:val="00FA5849"/>
    <w:rsid w:val="00FB220A"/>
    <w:rsid w:val="00FC1ABB"/>
    <w:rsid w:val="00FC5633"/>
    <w:rsid w:val="00FC6BFC"/>
    <w:rsid w:val="00FC6C13"/>
    <w:rsid w:val="00FE1479"/>
    <w:rsid w:val="00FE36B7"/>
    <w:rsid w:val="00FE3A8B"/>
    <w:rsid w:val="00FF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 w:type="character" w:customStyle="1" w:styleId="apple-converted-space">
    <w:name w:val="apple-converted-space"/>
    <w:basedOn w:val="DefaultParagraphFont"/>
    <w:rsid w:val="00310555"/>
  </w:style>
</w:styles>
</file>

<file path=word/webSettings.xml><?xml version="1.0" encoding="utf-8"?>
<w:webSettings xmlns:r="http://schemas.openxmlformats.org/officeDocument/2006/relationships" xmlns:w="http://schemas.openxmlformats.org/wordprocessingml/2006/main">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FCFC4-AB65-4681-89E2-F0156AE1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11</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Mary</cp:lastModifiedBy>
  <cp:revision>84</cp:revision>
  <cp:lastPrinted>2014-08-01T21:26:00Z</cp:lastPrinted>
  <dcterms:created xsi:type="dcterms:W3CDTF">2015-12-14T17:11:00Z</dcterms:created>
  <dcterms:modified xsi:type="dcterms:W3CDTF">2015-12-15T02:52:00Z</dcterms:modified>
</cp:coreProperties>
</file>