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42CD" w:rsidRPr="00FC42CD" w:rsidRDefault="002B1489">
      <w:pPr>
        <w:pStyle w:val="papertitle"/>
        <w:rPr>
          <w:i/>
        </w:rPr>
      </w:pPr>
      <w:r>
        <w:rPr>
          <w:i/>
        </w:rPr>
        <w:t>Selfish Mining P</w:t>
      </w:r>
      <w:r w:rsidR="00FC42CD" w:rsidRPr="00FC42CD">
        <w:rPr>
          <w:i/>
        </w:rPr>
        <w:t>ools</w:t>
      </w:r>
    </w:p>
    <w:p w:rsidR="00FC42CD" w:rsidRDefault="00FC42CD">
      <w:pPr>
        <w:pStyle w:val="papersubtitle"/>
      </w:pPr>
      <w:r>
        <w:t>Analysis of AntPool and F2Pool</w:t>
      </w:r>
    </w:p>
    <w:p w:rsidR="00FC42CD" w:rsidRDefault="00FC42CD"/>
    <w:p w:rsidR="00FC42CD" w:rsidRDefault="00FC42CD">
      <w:pPr>
        <w:sectPr w:rsidR="00FC42CD">
          <w:pgSz w:w="11906" w:h="16838"/>
          <w:pgMar w:top="1080" w:right="737" w:bottom="2432" w:left="737" w:header="720" w:footer="720" w:gutter="0"/>
          <w:cols w:space="720"/>
          <w:docGrid w:linePitch="360"/>
        </w:sectPr>
      </w:pPr>
    </w:p>
    <w:p w:rsidR="00FC42CD" w:rsidRDefault="00FC42CD">
      <w:pPr>
        <w:pStyle w:val="Author"/>
        <w:rPr>
          <w:rFonts w:eastAsia="Times New Roman"/>
        </w:rPr>
      </w:pPr>
      <w:r>
        <w:t xml:space="preserve">Isaac </w:t>
      </w:r>
      <w:proofErr w:type="spellStart"/>
      <w:r>
        <w:t>Vawter</w:t>
      </w:r>
      <w:proofErr w:type="spellEnd"/>
      <w:r>
        <w:t xml:space="preserve">, Alexey </w:t>
      </w:r>
      <w:proofErr w:type="spellStart"/>
      <w:r>
        <w:t>Shablygin</w:t>
      </w:r>
      <w:proofErr w:type="spellEnd"/>
    </w:p>
    <w:p w:rsidR="00FC42CD" w:rsidRDefault="00FC42CD">
      <w:pPr>
        <w:pStyle w:val="Affiliation"/>
        <w:rPr>
          <w:rFonts w:eastAsia="Times New Roman"/>
        </w:rPr>
      </w:pPr>
      <w:r>
        <w:rPr>
          <w:rFonts w:eastAsia="Times New Roman"/>
        </w:rPr>
        <w:t xml:space="preserve">College of Information and Computer Science  </w:t>
      </w:r>
    </w:p>
    <w:p w:rsidR="00FC42CD" w:rsidRDefault="00FC42CD">
      <w:pPr>
        <w:pStyle w:val="Affiliation"/>
      </w:pPr>
      <w:r>
        <w:rPr>
          <w:rFonts w:eastAsia="Times New Roman"/>
        </w:rPr>
        <w:t>University of Massachusetts Amherst</w:t>
      </w:r>
    </w:p>
    <w:p w:rsidR="00FC42CD" w:rsidRDefault="00FC42CD">
      <w:pPr>
        <w:pStyle w:val="Affiliation"/>
      </w:pPr>
      <w:r>
        <w:t>Amherst, MA</w:t>
      </w:r>
    </w:p>
    <w:p w:rsidR="00FC42CD" w:rsidRDefault="00FC42CD">
      <w:pPr>
        <w:pStyle w:val="Affiliation"/>
      </w:pPr>
      <w:r>
        <w:t>ivawter@umass.edu, ashablygin@umass.edu</w:t>
      </w:r>
    </w:p>
    <w:p w:rsidR="00FC42CD" w:rsidRDefault="00FC42CD">
      <w:pPr>
        <w:pStyle w:val="Affiliation"/>
      </w:pPr>
    </w:p>
    <w:p w:rsidR="00FC42CD" w:rsidRDefault="00FC42CD"/>
    <w:p w:rsidR="00FC42CD" w:rsidRDefault="00FC42CD">
      <w:pPr>
        <w:sectPr w:rsidR="00FC42CD">
          <w:type w:val="continuous"/>
          <w:pgSz w:w="11906" w:h="16838"/>
          <w:pgMar w:top="1080" w:right="737" w:bottom="2432" w:left="737" w:header="720" w:footer="720" w:gutter="0"/>
          <w:cols w:space="720"/>
          <w:docGrid w:linePitch="360"/>
        </w:sectPr>
      </w:pPr>
    </w:p>
    <w:p w:rsidR="00FC42CD" w:rsidRDefault="00FC42CD" w:rsidP="00FC42CD">
      <w:pPr>
        <w:pStyle w:val="Abstract"/>
      </w:pPr>
      <w:r>
        <w:rPr>
          <w:i/>
          <w:iCs/>
        </w:rPr>
        <w:t>Abstract</w:t>
      </w:r>
      <w:r>
        <w:rPr>
          <w:rFonts w:eastAsia="Times New Roman"/>
        </w:rPr>
        <w:t>—</w:t>
      </w:r>
      <w:proofErr w:type="gramStart"/>
      <w:r>
        <w:t>In</w:t>
      </w:r>
      <w:proofErr w:type="gramEnd"/>
      <w:r>
        <w:t xml:space="preserve"> this paper we will analyze</w:t>
      </w:r>
      <w:r w:rsidR="00D90917">
        <w:t xml:space="preserve"> blockchain</w:t>
      </w:r>
      <w:r>
        <w:t xml:space="preserve"> data from two</w:t>
      </w:r>
      <w:r w:rsidR="00D90917">
        <w:t xml:space="preserve"> of the</w:t>
      </w:r>
      <w:r>
        <w:t xml:space="preserve"> biggest mining pools</w:t>
      </w:r>
      <w:r w:rsidR="00D90917">
        <w:t>,</w:t>
      </w:r>
      <w:r>
        <w:t xml:space="preserve"> AntPool and F2Pool</w:t>
      </w:r>
      <w:r w:rsidR="00D90917">
        <w:t>, to identify mining activity that is indicative of selfish mining</w:t>
      </w:r>
      <w:r>
        <w:t xml:space="preserve">. We look for indication of selfish mining by </w:t>
      </w:r>
      <w:r w:rsidR="00D90917">
        <w:t xml:space="preserve">comparing </w:t>
      </w:r>
      <w:r>
        <w:t xml:space="preserve">the theoretical probability and observed probability of mining </w:t>
      </w:r>
      <w:r>
        <w:rPr>
          <w:i/>
        </w:rPr>
        <w:t>n</w:t>
      </w:r>
      <w:r>
        <w:t xml:space="preserve"> blocks sequentially given their respective mining power. </w:t>
      </w:r>
      <w:r w:rsidR="00D90917">
        <w:t>In addition, we conduct a Monte Carlo simulation to determine the likelihood that sequential block discovery by each miner occurred as expected given their mining power.</w:t>
      </w:r>
    </w:p>
    <w:p w:rsidR="00FC42CD" w:rsidRDefault="00FC42CD">
      <w:pPr>
        <w:pStyle w:val="Heading1"/>
      </w:pPr>
      <w:r>
        <w:t>Introduction</w:t>
      </w:r>
      <w:r>
        <w:rPr>
          <w:rFonts w:eastAsia="Times New Roman"/>
        </w:rPr>
        <w:t xml:space="preserve"> </w:t>
      </w:r>
    </w:p>
    <w:p w:rsidR="00C755E3" w:rsidRPr="00C755E3" w:rsidRDefault="00C755E3" w:rsidP="00EB5164">
      <w:pPr>
        <w:pStyle w:val="NormalWeb"/>
        <w:spacing w:before="0" w:beforeAutospacing="0" w:after="320" w:afterAutospacing="0"/>
        <w:ind w:left="216" w:firstLine="504"/>
        <w:jc w:val="both"/>
        <w:textAlignment w:val="baseline"/>
        <w:rPr>
          <w:rFonts w:ascii="Times New Roman" w:hAnsi="Times New Roman"/>
          <w:color w:val="000000" w:themeColor="text1"/>
        </w:rPr>
      </w:pPr>
      <w:r>
        <w:rPr>
          <w:rFonts w:ascii="Times New Roman" w:hAnsi="Times New Roman"/>
          <w:color w:val="000000" w:themeColor="text1"/>
        </w:rPr>
        <w:t>The objective of this paper is to o</w:t>
      </w:r>
      <w:r w:rsidRPr="00C755E3">
        <w:rPr>
          <w:rFonts w:ascii="Times New Roman" w:hAnsi="Times New Roman"/>
          <w:color w:val="000000" w:themeColor="text1"/>
        </w:rPr>
        <w:t>bserve if the frequency of sequential block discovery by individual bitcoin miners is indicative of honest or selfish mining.</w:t>
      </w:r>
      <w:r>
        <w:rPr>
          <w:rFonts w:ascii="Times New Roman" w:hAnsi="Times New Roman"/>
          <w:color w:val="000000" w:themeColor="text1"/>
        </w:rPr>
        <w:t xml:space="preserve"> </w:t>
      </w:r>
      <w:r w:rsidR="002C7A64">
        <w:rPr>
          <w:rFonts w:ascii="Times New Roman" w:hAnsi="Times New Roman"/>
          <w:color w:val="000000" w:themeColor="text1"/>
        </w:rPr>
        <w:t>Selfish mining occurs when a miner uses an algorithm</w:t>
      </w:r>
      <w:r w:rsidR="002C7A64">
        <w:rPr>
          <w:rFonts w:ascii="Times New Roman" w:hAnsi="Times New Roman"/>
          <w:color w:val="000000" w:themeColor="text1"/>
          <w:vertAlign w:val="superscript"/>
        </w:rPr>
        <w:t>1</w:t>
      </w:r>
      <w:r w:rsidR="002C7A64">
        <w:rPr>
          <w:rFonts w:ascii="Times New Roman" w:hAnsi="Times New Roman"/>
          <w:color w:val="000000" w:themeColor="text1"/>
        </w:rPr>
        <w:t xml:space="preserve"> that allows them to take advantage of bitcoin’s proof of work system to mine multiple blocks in a row, by mining blocks in secret and only releasing them at the opportune time. This causes competing miners to waste their mining power by not mining from the most recent block, because that block is kept hidden by the selfish miner. Since the selfish mining algorithm</w:t>
      </w:r>
      <w:r w:rsidR="002C7A64">
        <w:rPr>
          <w:rFonts w:ascii="Times New Roman" w:hAnsi="Times New Roman"/>
          <w:color w:val="000000" w:themeColor="text1"/>
          <w:vertAlign w:val="superscript"/>
        </w:rPr>
        <w:t>1</w:t>
      </w:r>
      <w:r w:rsidR="002C7A64">
        <w:rPr>
          <w:rFonts w:ascii="Times New Roman" w:hAnsi="Times New Roman"/>
          <w:color w:val="000000" w:themeColor="text1"/>
        </w:rPr>
        <w:t xml:space="preserve"> requires miners to publish sequences of bloc</w:t>
      </w:r>
      <w:r w:rsidR="009D4442">
        <w:rPr>
          <w:rFonts w:ascii="Times New Roman" w:hAnsi="Times New Roman"/>
          <w:color w:val="000000" w:themeColor="text1"/>
        </w:rPr>
        <w:t xml:space="preserve">ks all in a row, we aim to detect it by analyzing the frequency of block discovery sequences of different lengths by individual miners. </w:t>
      </w:r>
      <w:r w:rsidR="002C7A64">
        <w:rPr>
          <w:rFonts w:ascii="Times New Roman" w:hAnsi="Times New Roman"/>
          <w:color w:val="000000" w:themeColor="text1"/>
        </w:rPr>
        <w:t xml:space="preserve"> </w:t>
      </w:r>
    </w:p>
    <w:p w:rsidR="00FC42CD" w:rsidRDefault="00C755E3">
      <w:pPr>
        <w:pStyle w:val="Heading1"/>
      </w:pPr>
      <w:r>
        <w:t>Previous Work</w:t>
      </w:r>
    </w:p>
    <w:p w:rsidR="00FC42CD" w:rsidRDefault="00EB5164" w:rsidP="003D3614">
      <w:pPr>
        <w:pStyle w:val="BodyText"/>
        <w:ind w:left="180" w:firstLine="540"/>
      </w:pPr>
      <w:r>
        <w:t xml:space="preserve">This </w:t>
      </w:r>
      <w:r w:rsidR="009F3EFA">
        <w:t>paper</w:t>
      </w:r>
      <w:r>
        <w:t xml:space="preserve"> makes use of “</w:t>
      </w:r>
      <w:r w:rsidRPr="00EB5164">
        <w:rPr>
          <w:b/>
          <w:bCs/>
          <w:i/>
          <w:color w:val="000000"/>
        </w:rPr>
        <w:t>Majority Is Not Enough Bitcoin Mining Is Vulnerable</w:t>
      </w:r>
      <w:r>
        <w:rPr>
          <w:bCs/>
          <w:color w:val="000000"/>
        </w:rPr>
        <w:t>”</w:t>
      </w:r>
      <w:r w:rsidR="009D4442">
        <w:rPr>
          <w:bCs/>
          <w:color w:val="000000"/>
          <w:vertAlign w:val="superscript"/>
        </w:rPr>
        <w:t>1</w:t>
      </w:r>
      <w:r>
        <w:rPr>
          <w:bCs/>
          <w:color w:val="000000"/>
        </w:rPr>
        <w:t xml:space="preserve">, particularly their definition </w:t>
      </w:r>
      <w:r w:rsidR="009F3EFA">
        <w:rPr>
          <w:bCs/>
          <w:color w:val="000000"/>
        </w:rPr>
        <w:t>of selfish mining</w:t>
      </w:r>
      <w:r w:rsidR="009D4442">
        <w:rPr>
          <w:bCs/>
          <w:color w:val="000000"/>
        </w:rPr>
        <w:t>, the algorithm to perform selfish mining,</w:t>
      </w:r>
      <w:r w:rsidR="009F3EFA">
        <w:rPr>
          <w:bCs/>
          <w:color w:val="000000"/>
        </w:rPr>
        <w:t xml:space="preserve"> and findings on probability of selfish mining given computing power of a miner. </w:t>
      </w:r>
    </w:p>
    <w:p w:rsidR="00FC42CD" w:rsidRDefault="00C755E3">
      <w:pPr>
        <w:pStyle w:val="Heading1"/>
      </w:pPr>
      <w:r>
        <w:t>Methods</w:t>
      </w:r>
    </w:p>
    <w:p w:rsidR="00A27A55" w:rsidRDefault="009D4442">
      <w:pPr>
        <w:pStyle w:val="BodyText"/>
      </w:pPr>
      <w:r>
        <w:rPr>
          <w:color w:val="000000" w:themeColor="text1"/>
        </w:rPr>
        <w:t>In order to conduct our analysis do this we collected data about all of the blocks mined between December 1</w:t>
      </w:r>
      <w:r w:rsidRPr="00C755E3">
        <w:rPr>
          <w:color w:val="000000" w:themeColor="text1"/>
          <w:vertAlign w:val="superscript"/>
        </w:rPr>
        <w:t>st</w:t>
      </w:r>
      <w:r>
        <w:rPr>
          <w:color w:val="000000" w:themeColor="text1"/>
        </w:rPr>
        <w:t>, 2015 and April 20</w:t>
      </w:r>
      <w:r w:rsidRPr="00C755E3">
        <w:rPr>
          <w:color w:val="000000" w:themeColor="text1"/>
          <w:vertAlign w:val="superscript"/>
        </w:rPr>
        <w:t>th</w:t>
      </w:r>
      <w:r>
        <w:rPr>
          <w:color w:val="000000" w:themeColor="text1"/>
        </w:rPr>
        <w:t xml:space="preserve">, 2016, including information about which of those blocks were mined by AntPool and F2Pool. We </w:t>
      </w:r>
      <w:r w:rsidR="004B63CD">
        <w:t>collected our data using three main sources – blockchain.info, antpool.com and f2pool.com</w:t>
      </w:r>
      <w:r w:rsidR="00FC42CD">
        <w:t>.</w:t>
      </w:r>
      <w:r w:rsidR="004B63CD">
        <w:t xml:space="preserve"> We </w:t>
      </w:r>
      <w:r w:rsidR="003D3614">
        <w:t xml:space="preserve">scrapped blockchain.info to get all of the mined blocks for our time period. Antpool.com and f2pool.com both provided us with data about the blocks each pool mined respectively. We assume that both pools are honest and </w:t>
      </w:r>
      <w:r w:rsidR="003D3614">
        <w:t xml:space="preserve">reported every mined block on their respective websites. After we collected all of block data, we </w:t>
      </w:r>
      <w:r>
        <w:t xml:space="preserve">developed a Python program </w:t>
      </w:r>
      <w:r w:rsidR="00D35438">
        <w:t>to analyze the data and extract useful statistics on the gathered data. When conducting our analysis, we</w:t>
      </w:r>
      <w:r w:rsidR="003D3614">
        <w:t xml:space="preserve"> </w:t>
      </w:r>
      <w:r>
        <w:t>partitioning</w:t>
      </w:r>
      <w:r w:rsidR="003D3614">
        <w:t xml:space="preserve"> blocks into different sample </w:t>
      </w:r>
      <w:r w:rsidR="001E1711">
        <w:t>sizes (2000, 1000, 500, 100 blocks)</w:t>
      </w:r>
      <w:r>
        <w:t xml:space="preserve"> in order to account for </w:t>
      </w:r>
      <w:r w:rsidR="0054686A">
        <w:t xml:space="preserve">fluctuations in mining power and </w:t>
      </w:r>
      <w:r>
        <w:t xml:space="preserve">the chance that miners may not be mining selfishly all the time. </w:t>
      </w:r>
    </w:p>
    <w:p w:rsidR="0054686A" w:rsidRDefault="009D4442" w:rsidP="00A27A55">
      <w:pPr>
        <w:pStyle w:val="BodyText"/>
      </w:pPr>
      <w:r>
        <w:t xml:space="preserve">Initially we compared the observed probability </w:t>
      </w:r>
      <w:r w:rsidR="0054686A" w:rsidRPr="0054686A">
        <w:rPr>
          <w:b/>
        </w:rPr>
        <w:t>P</w:t>
      </w:r>
      <w:r w:rsidR="0054686A">
        <w:t xml:space="preserve"> </w:t>
      </w:r>
      <w:r>
        <w:t>a</w:t>
      </w:r>
      <w:r w:rsidR="0054686A">
        <w:t xml:space="preserve">gainst the theoretical probability </w:t>
      </w:r>
      <w:r w:rsidR="0054686A" w:rsidRPr="0054686A">
        <w:rPr>
          <w:b/>
        </w:rPr>
        <w:t>P*</w:t>
      </w:r>
      <w:r w:rsidR="001E1711">
        <w:t xml:space="preserve"> </w:t>
      </w:r>
      <w:r w:rsidR="0054686A">
        <w:t xml:space="preserve">of sequentially discovering </w:t>
      </w:r>
      <w:r w:rsidR="0054686A" w:rsidRPr="002B1489">
        <w:rPr>
          <w:b/>
        </w:rPr>
        <w:t>n</w:t>
      </w:r>
      <w:r w:rsidR="0054686A">
        <w:t xml:space="preserve"> blocks in a row </w:t>
      </w:r>
      <w:r w:rsidR="0054686A" w:rsidRPr="0054686A">
        <w:t>based</w:t>
      </w:r>
      <w:r w:rsidR="002B1489">
        <w:t xml:space="preserve"> on</w:t>
      </w:r>
      <w:r w:rsidR="0054686A">
        <w:t xml:space="preserve"> </w:t>
      </w:r>
      <w:r w:rsidR="003930B9">
        <w:t xml:space="preserve">the </w:t>
      </w:r>
      <w:r w:rsidR="002B1489">
        <w:t>sample</w:t>
      </w:r>
      <w:r w:rsidR="000D2B2C">
        <w:t xml:space="preserve"> size</w:t>
      </w:r>
      <w:r w:rsidR="002B1489">
        <w:t xml:space="preserve"> </w:t>
      </w:r>
      <w:r w:rsidR="002B1489">
        <w:rPr>
          <w:b/>
        </w:rPr>
        <w:t>y</w:t>
      </w:r>
      <w:r w:rsidR="000D2B2C">
        <w:t>, the</w:t>
      </w:r>
      <w:r w:rsidR="002B1489">
        <w:t xml:space="preserve"> </w:t>
      </w:r>
      <w:r w:rsidR="003930B9">
        <w:t>number of blocks mined</w:t>
      </w:r>
      <w:r w:rsidR="002B1489">
        <w:t xml:space="preserve"> by the mining pool</w:t>
      </w:r>
      <w:r w:rsidR="003930B9">
        <w:t xml:space="preserve"> </w:t>
      </w:r>
      <w:r w:rsidR="003930B9" w:rsidRPr="002B1489">
        <w:rPr>
          <w:b/>
        </w:rPr>
        <w:t>x</w:t>
      </w:r>
      <w:r w:rsidR="003930B9">
        <w:rPr>
          <w:b/>
        </w:rPr>
        <w:t>,</w:t>
      </w:r>
      <w:r w:rsidR="000D2B2C">
        <w:t xml:space="preserve"> and </w:t>
      </w:r>
      <w:r w:rsidR="002B1489">
        <w:t xml:space="preserve">the </w:t>
      </w:r>
      <w:r w:rsidR="003930B9">
        <w:t xml:space="preserve">total number of </w:t>
      </w:r>
      <w:r w:rsidR="002B1489">
        <w:t xml:space="preserve">block </w:t>
      </w:r>
      <w:proofErr w:type="gramStart"/>
      <w:r w:rsidR="003930B9">
        <w:t xml:space="preserve">sequences </w:t>
      </w:r>
      <w:r w:rsidR="002B1489">
        <w:t xml:space="preserve"> </w:t>
      </w:r>
      <w:r w:rsidR="002B1489" w:rsidRPr="002B1489">
        <w:rPr>
          <w:b/>
        </w:rPr>
        <w:t>z</w:t>
      </w:r>
      <w:proofErr w:type="gramEnd"/>
      <w:r w:rsidR="002B1489">
        <w:t xml:space="preserve"> </w:t>
      </w:r>
      <w:r w:rsidR="003930B9">
        <w:t xml:space="preserve">of length </w:t>
      </w:r>
      <w:r w:rsidR="003930B9" w:rsidRPr="002B1489">
        <w:rPr>
          <w:b/>
        </w:rPr>
        <w:t>n</w:t>
      </w:r>
      <w:r w:rsidR="003930B9">
        <w:t xml:space="preserve"> </w:t>
      </w:r>
      <w:r w:rsidR="002B1489">
        <w:t xml:space="preserve">mined by the pool </w:t>
      </w:r>
      <w:r w:rsidR="003930B9">
        <w:t>within the sample</w:t>
      </w:r>
      <w:r w:rsidR="000D2B2C">
        <w:t xml:space="preserve"> for </w:t>
      </w:r>
      <w:r w:rsidR="0054686A">
        <w:t>each mining pool using the following formulas:</w:t>
      </w:r>
    </w:p>
    <w:p w:rsidR="0054686A" w:rsidRDefault="0054686A" w:rsidP="0054686A">
      <w:pPr>
        <w:pStyle w:val="BodyText"/>
        <w:jc w:val="center"/>
        <w:rPr>
          <w:b/>
        </w:rPr>
      </w:pPr>
      <w:r>
        <w:rPr>
          <w:b/>
        </w:rPr>
        <w:t xml:space="preserve">P = </w:t>
      </w:r>
      <w:r w:rsidR="003930B9">
        <w:rPr>
          <w:b/>
        </w:rPr>
        <w:t>(x/y</w:t>
      </w:r>
      <w:proofErr w:type="gramStart"/>
      <w:r w:rsidR="003930B9">
        <w:rPr>
          <w:b/>
        </w:rPr>
        <w:t>)</w:t>
      </w:r>
      <w:r>
        <w:rPr>
          <w:b/>
          <w:vertAlign w:val="superscript"/>
        </w:rPr>
        <w:t>n</w:t>
      </w:r>
      <w:proofErr w:type="gramEnd"/>
    </w:p>
    <w:p w:rsidR="0054686A" w:rsidRPr="0054686A" w:rsidRDefault="0054686A" w:rsidP="0054686A">
      <w:pPr>
        <w:pStyle w:val="BodyText"/>
        <w:jc w:val="center"/>
        <w:rPr>
          <w:b/>
        </w:rPr>
      </w:pPr>
      <w:r w:rsidRPr="0054686A">
        <w:rPr>
          <w:b/>
        </w:rPr>
        <w:t xml:space="preserve">P* = </w:t>
      </w:r>
      <w:r w:rsidR="000D2B2C">
        <w:rPr>
          <w:b/>
        </w:rPr>
        <w:t>z</w:t>
      </w:r>
      <w:r w:rsidRPr="0054686A">
        <w:rPr>
          <w:b/>
        </w:rPr>
        <w:t xml:space="preserve"> / (y - (n-1))</w:t>
      </w:r>
    </w:p>
    <w:p w:rsidR="0054686A" w:rsidRDefault="0054686A">
      <w:pPr>
        <w:pStyle w:val="BodyText"/>
      </w:pPr>
    </w:p>
    <w:p w:rsidR="00FC42CD" w:rsidRPr="00D35438" w:rsidRDefault="00A27A55" w:rsidP="008C5D6D">
      <w:pPr>
        <w:pStyle w:val="BodyText"/>
        <w:ind w:firstLine="270"/>
      </w:pPr>
      <w:r>
        <w:t xml:space="preserve">While this method did identify some major deviations of </w:t>
      </w:r>
      <w:r>
        <w:rPr>
          <w:b/>
        </w:rPr>
        <w:t xml:space="preserve">P* </w:t>
      </w:r>
      <w:r>
        <w:t xml:space="preserve">from </w:t>
      </w:r>
      <w:r>
        <w:rPr>
          <w:b/>
        </w:rPr>
        <w:t>P</w:t>
      </w:r>
      <w:r>
        <w:t xml:space="preserve">, the fact that </w:t>
      </w:r>
      <w:r>
        <w:rPr>
          <w:b/>
        </w:rPr>
        <w:t xml:space="preserve">P* </w:t>
      </w:r>
      <w:r>
        <w:t xml:space="preserve">was consistently lower than </w:t>
      </w:r>
      <w:r>
        <w:rPr>
          <w:b/>
        </w:rPr>
        <w:t>P</w:t>
      </w:r>
      <w:r>
        <w:t xml:space="preserve"> seemed to indicate that our equations and/or methods were flawed and so we adopted a different approach. By</w:t>
      </w:r>
      <w:r w:rsidR="001E1711">
        <w:t xml:space="preserve"> performing a Monte Carlo simulation on each sample</w:t>
      </w:r>
      <w:r>
        <w:t>, we were able</w:t>
      </w:r>
      <w:r w:rsidR="001E1711">
        <w:t xml:space="preserve"> to determine expected number</w:t>
      </w:r>
      <w:r>
        <w:t xml:space="preserve"> and standard deviation</w:t>
      </w:r>
      <w:r w:rsidR="001E1711">
        <w:t xml:space="preserve"> of sequential block discoveries of varying lengths</w:t>
      </w:r>
      <w:r>
        <w:t xml:space="preserve"> based mining power of each pool</w:t>
      </w:r>
      <w:r w:rsidR="001E1711">
        <w:t xml:space="preserve">. </w:t>
      </w:r>
      <w:r>
        <w:t xml:space="preserve">This was done by </w:t>
      </w:r>
      <w:r w:rsidR="00D35438">
        <w:t xml:space="preserve">repeatedly shuffling an array </w:t>
      </w:r>
      <w:r w:rsidR="00D35438">
        <w:rPr>
          <w:b/>
        </w:rPr>
        <w:t>x</w:t>
      </w:r>
      <w:r w:rsidR="00D35438">
        <w:t xml:space="preserve"> </w:t>
      </w:r>
      <w:r w:rsidR="001B6D8D">
        <w:t>1’s and</w:t>
      </w:r>
      <w:r w:rsidR="00D35438">
        <w:t xml:space="preserve"> (</w:t>
      </w:r>
      <w:r w:rsidR="00D35438">
        <w:rPr>
          <w:b/>
        </w:rPr>
        <w:t xml:space="preserve">y </w:t>
      </w:r>
      <w:r w:rsidR="00D35438">
        <w:t xml:space="preserve">– </w:t>
      </w:r>
      <w:r w:rsidR="00D35438">
        <w:rPr>
          <w:b/>
        </w:rPr>
        <w:t>x</w:t>
      </w:r>
      <w:r w:rsidR="00D35438">
        <w:t>) 0’s, and then counting the total number of sequences of</w:t>
      </w:r>
      <w:r w:rsidR="001B6D8D">
        <w:t xml:space="preserve"> 1’s with</w:t>
      </w:r>
      <w:r w:rsidR="00D35438">
        <w:t xml:space="preserve"> lengths 1 through 10.</w:t>
      </w:r>
      <w:r w:rsidR="001B6D8D">
        <w:t xml:space="preserve"> After shuffling and recounting 1000 times, the data was output to a file, which was then further analyzed by an R script to create a graphical representation and identify outliers that were more than two standard deviations from what was expected.</w:t>
      </w:r>
    </w:p>
    <w:p w:rsidR="003D3614" w:rsidRDefault="00C755E3" w:rsidP="003D3614">
      <w:pPr>
        <w:pStyle w:val="Heading1"/>
      </w:pPr>
      <w:r>
        <w:t>Results</w:t>
      </w:r>
    </w:p>
    <w:p w:rsidR="003D3614" w:rsidRDefault="00595C0F" w:rsidP="008C5D6D">
      <w:pPr>
        <w:pStyle w:val="BodyText"/>
        <w:ind w:firstLine="270"/>
        <w:rPr>
          <w:color w:val="000000" w:themeColor="text1"/>
        </w:rPr>
      </w:pPr>
      <w:r>
        <w:t>Our findings indicate</w:t>
      </w:r>
      <w:r w:rsidR="008C5D6D">
        <w:t xml:space="preserve"> that there were several occurrences of sequential block discovery that were highly suspect within the time period of </w:t>
      </w:r>
      <w:r w:rsidR="008C5D6D">
        <w:rPr>
          <w:color w:val="000000" w:themeColor="text1"/>
        </w:rPr>
        <w:t>December 1</w:t>
      </w:r>
      <w:r w:rsidR="008C5D6D" w:rsidRPr="00C755E3">
        <w:rPr>
          <w:color w:val="000000" w:themeColor="text1"/>
          <w:vertAlign w:val="superscript"/>
        </w:rPr>
        <w:t>st</w:t>
      </w:r>
      <w:r w:rsidR="008C5D6D">
        <w:rPr>
          <w:color w:val="000000" w:themeColor="text1"/>
        </w:rPr>
        <w:t>, 2015 and April 20</w:t>
      </w:r>
      <w:r w:rsidR="008C5D6D" w:rsidRPr="00C755E3">
        <w:rPr>
          <w:color w:val="000000" w:themeColor="text1"/>
          <w:vertAlign w:val="superscript"/>
        </w:rPr>
        <w:t>th</w:t>
      </w:r>
      <w:r w:rsidR="008C5D6D">
        <w:rPr>
          <w:color w:val="000000" w:themeColor="text1"/>
        </w:rPr>
        <w:t>, 2016</w:t>
      </w:r>
      <w:r w:rsidR="008C5D6D">
        <w:rPr>
          <w:color w:val="000000" w:themeColor="text1"/>
        </w:rPr>
        <w:t>.</w:t>
      </w:r>
      <w:r w:rsidR="00D15F17">
        <w:rPr>
          <w:color w:val="000000" w:themeColor="text1"/>
        </w:rPr>
        <w:t xml:space="preserve"> During our initial analysis, we identified two separate occurrences where AntPool mined 7 blocks in a row, which is incredibly unlikely given the theoretical probability of such an occurrence being ~ 0.0061%.</w:t>
      </w:r>
      <w:r w:rsidR="00291640">
        <w:rPr>
          <w:color w:val="000000" w:themeColor="text1"/>
        </w:rPr>
        <w:t xml:space="preserve"> The following </w:t>
      </w:r>
      <w:r w:rsidR="000A76D9">
        <w:rPr>
          <w:color w:val="000000" w:themeColor="text1"/>
        </w:rPr>
        <w:t>and table</w:t>
      </w:r>
      <w:r w:rsidR="00291640">
        <w:rPr>
          <w:color w:val="000000" w:themeColor="text1"/>
        </w:rPr>
        <w:t xml:space="preserve"> show</w:t>
      </w:r>
      <w:r w:rsidR="000A76D9">
        <w:rPr>
          <w:color w:val="000000" w:themeColor="text1"/>
        </w:rPr>
        <w:t>s</w:t>
      </w:r>
      <w:r w:rsidR="00291640">
        <w:rPr>
          <w:color w:val="000000" w:themeColor="text1"/>
        </w:rPr>
        <w:t xml:space="preserve"> some of the findings indicating a strong deviation from expected mining behavior and possible indications of selfish mining:</w:t>
      </w:r>
    </w:p>
    <w:p w:rsidR="000A76D9" w:rsidRDefault="000A76D9" w:rsidP="008C5D6D">
      <w:pPr>
        <w:pStyle w:val="BodyText"/>
        <w:ind w:firstLine="270"/>
        <w:rPr>
          <w:color w:val="000000" w:themeColor="text1"/>
        </w:rPr>
      </w:pPr>
    </w:p>
    <w:p w:rsidR="000A76D9" w:rsidRDefault="000A76D9" w:rsidP="008C5D6D">
      <w:pPr>
        <w:pStyle w:val="BodyText"/>
        <w:ind w:firstLine="270"/>
        <w:rPr>
          <w:color w:val="000000" w:themeColor="text1"/>
        </w:rPr>
      </w:pPr>
    </w:p>
    <w:tbl>
      <w:tblPr>
        <w:tblpPr w:leftFromText="180" w:rightFromText="180" w:vertAnchor="text" w:tblpX="108" w:tblpY="1"/>
        <w:tblOverlap w:val="never"/>
        <w:tblW w:w="10540" w:type="dxa"/>
        <w:tblLook w:val="04A0" w:firstRow="1" w:lastRow="0" w:firstColumn="1" w:lastColumn="0" w:noHBand="0" w:noVBand="1"/>
      </w:tblPr>
      <w:tblGrid>
        <w:gridCol w:w="1368"/>
        <w:gridCol w:w="1440"/>
        <w:gridCol w:w="1350"/>
        <w:gridCol w:w="1170"/>
        <w:gridCol w:w="1187"/>
        <w:gridCol w:w="1187"/>
        <w:gridCol w:w="1136"/>
        <w:gridCol w:w="1702"/>
      </w:tblGrid>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lastRenderedPageBreak/>
              <w:t>Mining Pool</w:t>
            </w:r>
          </w:p>
        </w:tc>
        <w:tc>
          <w:tcPr>
            <w:tcW w:w="1440" w:type="dxa"/>
            <w:tcBorders>
              <w:top w:val="nil"/>
              <w:left w:val="nil"/>
              <w:bottom w:val="nil"/>
              <w:right w:val="nil"/>
            </w:tcBorders>
            <w:shd w:val="clear" w:color="auto" w:fill="auto"/>
            <w:noWrap/>
            <w:vAlign w:val="bottom"/>
            <w:hideMark/>
          </w:tcPr>
          <w:p w:rsidR="000A76D9" w:rsidRPr="000A76D9" w:rsidRDefault="00F37E1A" w:rsidP="00F37E1A">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t>Sample S</w:t>
            </w:r>
            <w:r w:rsidR="000A76D9" w:rsidRPr="000A76D9">
              <w:rPr>
                <w:rFonts w:ascii="Calibri" w:eastAsia="Times New Roman" w:hAnsi="Calibri"/>
                <w:b/>
                <w:color w:val="000000"/>
                <w:sz w:val="22"/>
                <w:szCs w:val="22"/>
                <w:lang w:eastAsia="en-US"/>
              </w:rPr>
              <w:t>tart</w:t>
            </w:r>
            <w:r w:rsidRPr="00F37E1A">
              <w:rPr>
                <w:rFonts w:ascii="Calibri" w:eastAsia="Times New Roman" w:hAnsi="Calibri"/>
                <w:b/>
                <w:color w:val="000000"/>
                <w:sz w:val="22"/>
                <w:szCs w:val="22"/>
                <w:lang w:eastAsia="en-US"/>
              </w:rPr>
              <w:t xml:space="preserve"> </w:t>
            </w:r>
            <w:r w:rsidR="000A76D9" w:rsidRPr="000A76D9">
              <w:rPr>
                <w:rFonts w:ascii="Calibri" w:eastAsia="Times New Roman" w:hAnsi="Calibri"/>
                <w:b/>
                <w:color w:val="000000"/>
                <w:sz w:val="22"/>
                <w:szCs w:val="22"/>
                <w:lang w:eastAsia="en-US"/>
              </w:rPr>
              <w:t>Height</w:t>
            </w:r>
          </w:p>
        </w:tc>
        <w:tc>
          <w:tcPr>
            <w:tcW w:w="1350" w:type="dxa"/>
            <w:tcBorders>
              <w:top w:val="nil"/>
              <w:left w:val="nil"/>
              <w:bottom w:val="nil"/>
              <w:right w:val="nil"/>
            </w:tcBorders>
            <w:shd w:val="clear" w:color="auto" w:fill="auto"/>
            <w:noWrap/>
            <w:vAlign w:val="bottom"/>
            <w:hideMark/>
          </w:tcPr>
          <w:p w:rsidR="000A76D9" w:rsidRPr="000A76D9" w:rsidRDefault="00F37E1A" w:rsidP="00F37E1A">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t>Sample E</w:t>
            </w:r>
            <w:r w:rsidR="000A76D9" w:rsidRPr="000A76D9">
              <w:rPr>
                <w:rFonts w:ascii="Calibri" w:eastAsia="Times New Roman" w:hAnsi="Calibri"/>
                <w:b/>
                <w:color w:val="000000"/>
                <w:sz w:val="22"/>
                <w:szCs w:val="22"/>
                <w:lang w:eastAsia="en-US"/>
              </w:rPr>
              <w:t>nd</w:t>
            </w:r>
            <w:r w:rsidRPr="00F37E1A">
              <w:rPr>
                <w:rFonts w:ascii="Calibri" w:eastAsia="Times New Roman" w:hAnsi="Calibri"/>
                <w:b/>
                <w:color w:val="000000"/>
                <w:sz w:val="22"/>
                <w:szCs w:val="22"/>
                <w:lang w:eastAsia="en-US"/>
              </w:rPr>
              <w:t xml:space="preserve"> </w:t>
            </w:r>
            <w:r w:rsidR="000A76D9" w:rsidRPr="000A76D9">
              <w:rPr>
                <w:rFonts w:ascii="Calibri" w:eastAsia="Times New Roman" w:hAnsi="Calibri"/>
                <w:b/>
                <w:color w:val="000000"/>
                <w:sz w:val="22"/>
                <w:szCs w:val="22"/>
                <w:lang w:eastAsia="en-US"/>
              </w:rPr>
              <w:t>Height</w:t>
            </w:r>
          </w:p>
        </w:tc>
        <w:tc>
          <w:tcPr>
            <w:tcW w:w="1170" w:type="dxa"/>
            <w:tcBorders>
              <w:top w:val="nil"/>
              <w:left w:val="nil"/>
              <w:bottom w:val="nil"/>
              <w:right w:val="nil"/>
            </w:tcBorders>
            <w:shd w:val="clear" w:color="auto" w:fill="auto"/>
            <w:noWrap/>
            <w:vAlign w:val="bottom"/>
            <w:hideMark/>
          </w:tcPr>
          <w:p w:rsidR="000A76D9" w:rsidRPr="000A76D9" w:rsidRDefault="00F37E1A" w:rsidP="000A76D9">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t>Sequence Length</w:t>
            </w:r>
          </w:p>
        </w:tc>
        <w:tc>
          <w:tcPr>
            <w:tcW w:w="1187" w:type="dxa"/>
            <w:tcBorders>
              <w:top w:val="nil"/>
              <w:left w:val="nil"/>
              <w:bottom w:val="nil"/>
              <w:right w:val="nil"/>
            </w:tcBorders>
            <w:shd w:val="clear" w:color="auto" w:fill="auto"/>
            <w:noWrap/>
            <w:vAlign w:val="bottom"/>
            <w:hideMark/>
          </w:tcPr>
          <w:p w:rsidR="000A76D9" w:rsidRPr="000A76D9" w:rsidRDefault="00F37E1A" w:rsidP="000A76D9">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t>O</w:t>
            </w:r>
            <w:r w:rsidR="000A76D9" w:rsidRPr="000A76D9">
              <w:rPr>
                <w:rFonts w:ascii="Calibri" w:eastAsia="Times New Roman" w:hAnsi="Calibri"/>
                <w:b/>
                <w:color w:val="000000"/>
                <w:sz w:val="22"/>
                <w:szCs w:val="22"/>
                <w:lang w:eastAsia="en-US"/>
              </w:rPr>
              <w:t>bserved</w:t>
            </w:r>
            <w:r w:rsidRPr="00F37E1A">
              <w:rPr>
                <w:rFonts w:ascii="Calibri" w:eastAsia="Times New Roman" w:hAnsi="Calibri"/>
                <w:b/>
                <w:color w:val="000000"/>
                <w:sz w:val="22"/>
                <w:szCs w:val="22"/>
                <w:lang w:eastAsia="en-US"/>
              </w:rPr>
              <w:t xml:space="preserve"> Sequences</w:t>
            </w:r>
          </w:p>
        </w:tc>
        <w:tc>
          <w:tcPr>
            <w:tcW w:w="1187" w:type="dxa"/>
            <w:tcBorders>
              <w:top w:val="nil"/>
              <w:left w:val="nil"/>
              <w:bottom w:val="nil"/>
              <w:right w:val="nil"/>
            </w:tcBorders>
            <w:shd w:val="clear" w:color="auto" w:fill="auto"/>
            <w:noWrap/>
            <w:vAlign w:val="bottom"/>
            <w:hideMark/>
          </w:tcPr>
          <w:p w:rsidR="000A76D9" w:rsidRPr="000A76D9" w:rsidRDefault="00F37E1A" w:rsidP="000A76D9">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t>E</w:t>
            </w:r>
            <w:r w:rsidR="000A76D9" w:rsidRPr="000A76D9">
              <w:rPr>
                <w:rFonts w:ascii="Calibri" w:eastAsia="Times New Roman" w:hAnsi="Calibri"/>
                <w:b/>
                <w:color w:val="000000"/>
                <w:sz w:val="22"/>
                <w:szCs w:val="22"/>
                <w:lang w:eastAsia="en-US"/>
              </w:rPr>
              <w:t>xpected</w:t>
            </w:r>
            <w:r w:rsidRPr="00F37E1A">
              <w:rPr>
                <w:rFonts w:ascii="Calibri" w:eastAsia="Times New Roman" w:hAnsi="Calibri"/>
                <w:b/>
                <w:color w:val="000000"/>
                <w:sz w:val="22"/>
                <w:szCs w:val="22"/>
                <w:lang w:eastAsia="en-US"/>
              </w:rPr>
              <w:t xml:space="preserve"> Sequences</w:t>
            </w:r>
          </w:p>
        </w:tc>
        <w:tc>
          <w:tcPr>
            <w:tcW w:w="1136" w:type="dxa"/>
            <w:tcBorders>
              <w:top w:val="nil"/>
              <w:left w:val="nil"/>
              <w:bottom w:val="nil"/>
              <w:right w:val="nil"/>
            </w:tcBorders>
            <w:shd w:val="clear" w:color="auto" w:fill="auto"/>
            <w:noWrap/>
            <w:vAlign w:val="bottom"/>
            <w:hideMark/>
          </w:tcPr>
          <w:p w:rsidR="000A76D9" w:rsidRPr="000A76D9" w:rsidRDefault="00F37E1A" w:rsidP="000A76D9">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t>Standard Deviation</w:t>
            </w:r>
          </w:p>
        </w:tc>
        <w:tc>
          <w:tcPr>
            <w:tcW w:w="1702" w:type="dxa"/>
            <w:tcBorders>
              <w:top w:val="nil"/>
              <w:left w:val="nil"/>
              <w:bottom w:val="nil"/>
              <w:right w:val="nil"/>
            </w:tcBorders>
            <w:shd w:val="clear" w:color="auto" w:fill="auto"/>
            <w:noWrap/>
            <w:vAlign w:val="bottom"/>
            <w:hideMark/>
          </w:tcPr>
          <w:p w:rsidR="000A76D9" w:rsidRPr="000A76D9" w:rsidRDefault="00F37E1A" w:rsidP="000A76D9">
            <w:pPr>
              <w:suppressAutoHyphens w:val="0"/>
              <w:jc w:val="left"/>
              <w:rPr>
                <w:rFonts w:ascii="Calibri" w:eastAsia="Times New Roman" w:hAnsi="Calibri"/>
                <w:b/>
                <w:color w:val="000000"/>
                <w:sz w:val="22"/>
                <w:szCs w:val="22"/>
                <w:lang w:eastAsia="en-US"/>
              </w:rPr>
            </w:pPr>
            <w:r w:rsidRPr="00F37E1A">
              <w:rPr>
                <w:rFonts w:ascii="Calibri" w:eastAsia="Times New Roman" w:hAnsi="Calibri"/>
                <w:b/>
                <w:color w:val="000000"/>
                <w:sz w:val="22"/>
                <w:szCs w:val="22"/>
                <w:lang w:eastAsia="en-US"/>
              </w:rPr>
              <w:t>D</w:t>
            </w:r>
            <w:r w:rsidR="000A76D9" w:rsidRPr="000A76D9">
              <w:rPr>
                <w:rFonts w:ascii="Calibri" w:eastAsia="Times New Roman" w:hAnsi="Calibri"/>
                <w:b/>
                <w:color w:val="000000"/>
                <w:sz w:val="22"/>
                <w:szCs w:val="22"/>
                <w:lang w:eastAsia="en-US"/>
              </w:rPr>
              <w:t>eviations</w:t>
            </w:r>
            <w:r>
              <w:rPr>
                <w:rFonts w:ascii="Calibri" w:eastAsia="Times New Roman" w:hAnsi="Calibri"/>
                <w:b/>
                <w:color w:val="000000"/>
                <w:sz w:val="22"/>
                <w:szCs w:val="22"/>
                <w:lang w:eastAsia="en-US"/>
              </w:rPr>
              <w:t xml:space="preserve"> From Expected</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F2Pool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407056</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406057</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13</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7.867</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2.551727</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2.011579</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bookmarkStart w:id="0" w:name="_GoBack"/>
            <w:bookmarkEnd w:id="0"/>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404056</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403057</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7</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0.08</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0.274955</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3.346008</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403056</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402057</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26</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38.86</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5.013821</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2.56491</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402056</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401057</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42</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32.281</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4.492665</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2.163304</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F2Pool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400056</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399057</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14</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7.867</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2.551727</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2.40347</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397055</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396054</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43</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30.313</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4.319147</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2.937386</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F2Pool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397055</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396054</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6</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0.056</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0.234231</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4.030215</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394053</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393054</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166</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146.228</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9.837175</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2.009927</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394053</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393054</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31</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41.366</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5.177649</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2.002067</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394053</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393054</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5</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0.933</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0.938355</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2.20279</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AntPool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392053</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391054</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7</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0.07</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0.259037</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3.590225</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F2Pool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387033</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386119</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19</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29.843</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1.938131</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5.594566</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F2Pool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387033</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386119</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2</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5</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1.012</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0.933732</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4.271031</w:t>
            </w:r>
          </w:p>
        </w:tc>
      </w:tr>
      <w:tr w:rsidR="00F37E1A" w:rsidRPr="000A76D9" w:rsidTr="00F37E1A">
        <w:trPr>
          <w:trHeight w:val="292"/>
        </w:trPr>
        <w:tc>
          <w:tcPr>
            <w:tcW w:w="1368"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lef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F2Pool</w:t>
            </w:r>
          </w:p>
        </w:tc>
        <w:tc>
          <w:tcPr>
            <w:tcW w:w="144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387033</w:t>
            </w:r>
          </w:p>
        </w:tc>
        <w:tc>
          <w:tcPr>
            <w:tcW w:w="135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386119</w:t>
            </w:r>
          </w:p>
        </w:tc>
        <w:tc>
          <w:tcPr>
            <w:tcW w:w="1170"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3</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1</w:t>
            </w:r>
          </w:p>
        </w:tc>
        <w:tc>
          <w:tcPr>
            <w:tcW w:w="1187"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0.043</w:t>
            </w:r>
          </w:p>
        </w:tc>
        <w:tc>
          <w:tcPr>
            <w:tcW w:w="1136"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0.207728</w:t>
            </w:r>
          </w:p>
        </w:tc>
        <w:tc>
          <w:tcPr>
            <w:tcW w:w="1702" w:type="dxa"/>
            <w:tcBorders>
              <w:top w:val="nil"/>
              <w:left w:val="nil"/>
              <w:bottom w:val="nil"/>
              <w:right w:val="nil"/>
            </w:tcBorders>
            <w:shd w:val="clear" w:color="auto" w:fill="auto"/>
            <w:noWrap/>
            <w:vAlign w:val="bottom"/>
            <w:hideMark/>
          </w:tcPr>
          <w:p w:rsidR="000A76D9" w:rsidRPr="000A76D9" w:rsidRDefault="000A76D9" w:rsidP="000A76D9">
            <w:pPr>
              <w:suppressAutoHyphens w:val="0"/>
              <w:jc w:val="right"/>
              <w:rPr>
                <w:rFonts w:ascii="Calibri" w:eastAsia="Times New Roman" w:hAnsi="Calibri"/>
                <w:color w:val="000000"/>
                <w:sz w:val="22"/>
                <w:szCs w:val="22"/>
                <w:lang w:eastAsia="en-US"/>
              </w:rPr>
            </w:pPr>
            <w:r w:rsidRPr="000A76D9">
              <w:rPr>
                <w:rFonts w:ascii="Calibri" w:eastAsia="Times New Roman" w:hAnsi="Calibri"/>
                <w:color w:val="000000"/>
                <w:sz w:val="22"/>
                <w:szCs w:val="22"/>
                <w:lang w:eastAsia="en-US"/>
              </w:rPr>
              <w:t>4.606982</w:t>
            </w:r>
          </w:p>
        </w:tc>
      </w:tr>
    </w:tbl>
    <w:p w:rsidR="000A76D9" w:rsidRPr="003D3614" w:rsidRDefault="000A76D9" w:rsidP="008C5D6D">
      <w:pPr>
        <w:pStyle w:val="BodyText"/>
        <w:ind w:firstLine="270"/>
      </w:pPr>
    </w:p>
    <w:p w:rsidR="00C755E3" w:rsidRDefault="00C755E3" w:rsidP="00C755E3">
      <w:pPr>
        <w:pStyle w:val="Heading1"/>
      </w:pPr>
      <w:r>
        <w:t>Conclusion</w:t>
      </w:r>
      <w:r w:rsidR="00012EB9">
        <w:t xml:space="preserve"> and Future Work</w:t>
      </w:r>
    </w:p>
    <w:p w:rsidR="000A76D9" w:rsidRDefault="00E85AAF" w:rsidP="008D0F2D">
      <w:pPr>
        <w:pStyle w:val="BodyText"/>
      </w:pPr>
      <w:r>
        <w:t>Through this research we found that it is possible to detect deviations from expected mining behavior, and possibly a sound method for detecting selfish mining. One future direction to take with this work would be to analyze the blockchain of a simulated scenario with selfish and hone</w:t>
      </w:r>
      <w:r w:rsidR="008E4C43">
        <w:t xml:space="preserve">st miners to see if this method. Another future direction would be two extend the analysis back future in history and include more pools. Finally, another interesting expansion on this analysis would be to combine blocks from multiple mining pools to </w:t>
      </w:r>
    </w:p>
    <w:p w:rsidR="000A76D9" w:rsidRDefault="000A76D9" w:rsidP="000A76D9">
      <w:pPr>
        <w:pStyle w:val="BodyText"/>
        <w:ind w:firstLine="0"/>
      </w:pPr>
    </w:p>
    <w:p w:rsidR="00FC42CD" w:rsidRPr="00FC42CD" w:rsidRDefault="008E4C43" w:rsidP="000A76D9">
      <w:pPr>
        <w:pStyle w:val="BodyText"/>
        <w:ind w:firstLine="0"/>
      </w:pPr>
      <w:proofErr w:type="gramStart"/>
      <w:r>
        <w:t>investigate</w:t>
      </w:r>
      <w:proofErr w:type="gramEnd"/>
      <w:r>
        <w:t xml:space="preserve"> the likelihood of miners colluding to mask combined selfish mining.</w:t>
      </w:r>
    </w:p>
    <w:p w:rsidR="00C755E3" w:rsidRDefault="00FC42CD" w:rsidP="00C755E3">
      <w:pPr>
        <w:pStyle w:val="Heading1"/>
        <w:numPr>
          <w:ilvl w:val="0"/>
          <w:numId w:val="0"/>
        </w:numPr>
      </w:pPr>
      <w:r>
        <w:t>References</w:t>
      </w:r>
    </w:p>
    <w:p w:rsidR="00C755E3" w:rsidRDefault="002C7A64" w:rsidP="002C7A64">
      <w:pPr>
        <w:pStyle w:val="references"/>
      </w:pPr>
      <w:proofErr w:type="spellStart"/>
      <w:r w:rsidRPr="002C7A64">
        <w:t>Eyal</w:t>
      </w:r>
      <w:proofErr w:type="spellEnd"/>
      <w:r w:rsidRPr="002C7A64">
        <w:t xml:space="preserve">, I., &amp; </w:t>
      </w:r>
      <w:proofErr w:type="spellStart"/>
      <w:r w:rsidRPr="002C7A64">
        <w:t>Sirer</w:t>
      </w:r>
      <w:proofErr w:type="spellEnd"/>
      <w:r w:rsidRPr="002C7A64">
        <w:t>, E. G. (2014). Majority is not enough: Bitcoin mining is vulnerable. In Financial Cryptography and Data Security (pp. 436-454). Springer Berlin Heidelberg.</w:t>
      </w:r>
    </w:p>
    <w:p w:rsidR="009B6B68" w:rsidRDefault="009B6B68" w:rsidP="009B6B68">
      <w:pPr>
        <w:pStyle w:val="references"/>
      </w:pPr>
      <w:r w:rsidRPr="009B6B68">
        <w:t>Black, P. E. (2005). Fisher-yates shuffle. Dictionary of algorithms and data structures, 19.</w:t>
      </w:r>
    </w:p>
    <w:p w:rsidR="009B6B68" w:rsidRDefault="009B6B68" w:rsidP="009B6B68">
      <w:pPr>
        <w:pStyle w:val="references"/>
        <w:numPr>
          <w:ilvl w:val="0"/>
          <w:numId w:val="0"/>
        </w:numPr>
        <w:ind w:left="360" w:hanging="360"/>
      </w:pPr>
    </w:p>
    <w:p w:rsidR="009B6B68" w:rsidRPr="00C755E3" w:rsidRDefault="009B6B68" w:rsidP="009B6B68">
      <w:pPr>
        <w:pStyle w:val="references"/>
        <w:numPr>
          <w:ilvl w:val="0"/>
          <w:numId w:val="0"/>
        </w:numPr>
        <w:sectPr w:rsidR="009B6B68" w:rsidRPr="00C755E3">
          <w:type w:val="continuous"/>
          <w:pgSz w:w="11906" w:h="16838"/>
          <w:pgMar w:top="1080" w:right="737" w:bottom="2432" w:left="737" w:header="720" w:footer="720" w:gutter="0"/>
          <w:cols w:num="2" w:space="360"/>
          <w:docGrid w:linePitch="360"/>
        </w:sectPr>
      </w:pPr>
    </w:p>
    <w:p w:rsidR="00FC42CD" w:rsidRDefault="00FC42CD" w:rsidP="00FC42CD">
      <w:pPr>
        <w:jc w:val="both"/>
      </w:pPr>
    </w:p>
    <w:sectPr w:rsidR="00FC42C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318C10DE"/>
    <w:multiLevelType w:val="multilevel"/>
    <w:tmpl w:val="78B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2CD"/>
    <w:rsid w:val="00012EB9"/>
    <w:rsid w:val="000A76D9"/>
    <w:rsid w:val="000D2B2C"/>
    <w:rsid w:val="001B6D8D"/>
    <w:rsid w:val="001E1711"/>
    <w:rsid w:val="00291640"/>
    <w:rsid w:val="002B1489"/>
    <w:rsid w:val="002C7A64"/>
    <w:rsid w:val="00350896"/>
    <w:rsid w:val="003930B9"/>
    <w:rsid w:val="003D3614"/>
    <w:rsid w:val="004B63CD"/>
    <w:rsid w:val="0054686A"/>
    <w:rsid w:val="00595C0F"/>
    <w:rsid w:val="007B4085"/>
    <w:rsid w:val="008C225C"/>
    <w:rsid w:val="008C5D6D"/>
    <w:rsid w:val="008D0F2D"/>
    <w:rsid w:val="008E4C43"/>
    <w:rsid w:val="008F3029"/>
    <w:rsid w:val="009B6B68"/>
    <w:rsid w:val="009D4442"/>
    <w:rsid w:val="009F3EFA"/>
    <w:rsid w:val="00A27A55"/>
    <w:rsid w:val="00C14AD3"/>
    <w:rsid w:val="00C755E3"/>
    <w:rsid w:val="00D15F17"/>
    <w:rsid w:val="00D35438"/>
    <w:rsid w:val="00D90917"/>
    <w:rsid w:val="00E32E08"/>
    <w:rsid w:val="00E85AAF"/>
    <w:rsid w:val="00EB5164"/>
    <w:rsid w:val="00F37E1A"/>
    <w:rsid w:val="00FC4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2BB9857E-319C-401F-B873-23E552FC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FC42CD"/>
    <w:rPr>
      <w:color w:val="0000FF" w:themeColor="hyperlink"/>
      <w:u w:val="single"/>
    </w:rPr>
  </w:style>
  <w:style w:type="paragraph" w:styleId="NormalWeb">
    <w:name w:val="Normal (Web)"/>
    <w:basedOn w:val="Normal"/>
    <w:uiPriority w:val="99"/>
    <w:semiHidden/>
    <w:unhideWhenUsed/>
    <w:rsid w:val="00C755E3"/>
    <w:pPr>
      <w:suppressAutoHyphens w:val="0"/>
      <w:spacing w:before="100" w:beforeAutospacing="1" w:after="100" w:afterAutospacing="1"/>
      <w:jc w:val="left"/>
    </w:pPr>
    <w:rPr>
      <w:rFonts w:ascii="Times" w:eastAsia="Times New Roman"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57883">
      <w:bodyDiv w:val="1"/>
      <w:marLeft w:val="0"/>
      <w:marRight w:val="0"/>
      <w:marTop w:val="0"/>
      <w:marBottom w:val="0"/>
      <w:divBdr>
        <w:top w:val="none" w:sz="0" w:space="0" w:color="auto"/>
        <w:left w:val="none" w:sz="0" w:space="0" w:color="auto"/>
        <w:bottom w:val="none" w:sz="0" w:space="0" w:color="auto"/>
        <w:right w:val="none" w:sz="0" w:space="0" w:color="auto"/>
      </w:divBdr>
    </w:div>
    <w:div w:id="152058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944</Words>
  <Characters>5381</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Paper Title (use style: paper title)</vt:lpstr>
      <vt:lpstr>Introduction </vt:lpstr>
      <vt:lpstr>Previous Work</vt:lpstr>
      <vt:lpstr>Methods</vt:lpstr>
      <vt:lpstr>Results</vt:lpstr>
      <vt:lpstr>Conclusion and Future Work</vt:lpstr>
      <vt:lpstr>References</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Isaac Vawter</cp:lastModifiedBy>
  <cp:revision>2</cp:revision>
  <cp:lastPrinted>2016-05-03T20:20:00Z</cp:lastPrinted>
  <dcterms:created xsi:type="dcterms:W3CDTF">2016-05-05T18:03:00Z</dcterms:created>
  <dcterms:modified xsi:type="dcterms:W3CDTF">2016-05-05T18:03:00Z</dcterms:modified>
</cp:coreProperties>
</file>