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0401" w14:textId="77777777" w:rsidR="002A2336" w:rsidRPr="002A2336" w:rsidRDefault="002A2336" w:rsidP="002A2336">
      <w:pPr>
        <w:spacing w:after="216"/>
        <w:ind w:right="5"/>
        <w:jc w:val="center"/>
        <w:rPr>
          <w:sz w:val="48"/>
          <w:szCs w:val="48"/>
        </w:rPr>
      </w:pPr>
      <w:r w:rsidRPr="002A2336">
        <w:rPr>
          <w:b/>
          <w:color w:val="CC0000"/>
          <w:sz w:val="48"/>
          <w:szCs w:val="48"/>
        </w:rPr>
        <w:t>Northeastern University</w:t>
      </w:r>
      <w:r w:rsidRPr="002A2336">
        <w:rPr>
          <w:sz w:val="48"/>
          <w:szCs w:val="48"/>
        </w:rPr>
        <w:t xml:space="preserve"> </w:t>
      </w:r>
    </w:p>
    <w:p w14:paraId="207B091A" w14:textId="19FCE5E6" w:rsidR="002A2336" w:rsidRPr="00DB10D9" w:rsidRDefault="002A2336" w:rsidP="00DB10D9">
      <w:pPr>
        <w:spacing w:after="114"/>
        <w:ind w:right="5"/>
        <w:jc w:val="center"/>
        <w:rPr>
          <w:sz w:val="48"/>
          <w:szCs w:val="48"/>
        </w:rPr>
      </w:pPr>
      <w:r w:rsidRPr="002A2336">
        <w:rPr>
          <w:sz w:val="48"/>
          <w:szCs w:val="48"/>
        </w:rPr>
        <w:t xml:space="preserve">College of Professional Studies Vancouver Campus </w:t>
      </w:r>
      <w:r>
        <w:t xml:space="preserve"> </w:t>
      </w:r>
    </w:p>
    <w:p w14:paraId="6E4C82D6" w14:textId="7469E29C" w:rsidR="002A2336" w:rsidRPr="00DB10D9" w:rsidRDefault="002A2336" w:rsidP="00DB10D9">
      <w:pPr>
        <w:spacing w:after="577"/>
        <w:ind w:left="3638" w:firstLine="682"/>
        <w:rPr>
          <w:color w:val="2F5496" w:themeColor="accent5" w:themeShade="BF"/>
          <w:sz w:val="28"/>
          <w:szCs w:val="28"/>
        </w:rPr>
      </w:pPr>
      <w:r w:rsidRPr="002A2336">
        <w:rPr>
          <w:color w:val="2F5496" w:themeColor="accent5" w:themeShade="BF"/>
          <w:sz w:val="44"/>
          <w:szCs w:val="28"/>
        </w:rPr>
        <w:t xml:space="preserve">    </w:t>
      </w:r>
      <w:r w:rsidRPr="002A2336">
        <w:rPr>
          <w:color w:val="2F5496" w:themeColor="accent5" w:themeShade="BF"/>
          <w:sz w:val="44"/>
          <w:szCs w:val="28"/>
        </w:rPr>
        <w:t>ALY61</w:t>
      </w:r>
      <w:r w:rsidRPr="002A2336">
        <w:rPr>
          <w:color w:val="2F5496" w:themeColor="accent5" w:themeShade="BF"/>
          <w:sz w:val="44"/>
          <w:szCs w:val="28"/>
        </w:rPr>
        <w:t>3</w:t>
      </w:r>
      <w:r w:rsidRPr="002A2336">
        <w:rPr>
          <w:color w:val="2F5496" w:themeColor="accent5" w:themeShade="BF"/>
          <w:sz w:val="44"/>
          <w:szCs w:val="28"/>
        </w:rPr>
        <w:t>0 - Module 1 Assignment</w:t>
      </w:r>
    </w:p>
    <w:p w14:paraId="0D3808AE" w14:textId="1D276359" w:rsidR="00DB10D9" w:rsidRPr="00DB10D9" w:rsidRDefault="002A2336" w:rsidP="00DB10D9">
      <w:pPr>
        <w:spacing w:after="377"/>
        <w:ind w:right="538"/>
        <w:jc w:val="center"/>
        <w:rPr>
          <w:rFonts w:ascii="Arial" w:eastAsia="Arial" w:hAnsi="Arial" w:cs="Arial"/>
          <w:b/>
          <w:color w:val="2E4057"/>
        </w:rPr>
      </w:pPr>
      <w:r>
        <w:rPr>
          <w:rFonts w:ascii="Arial" w:eastAsia="Arial" w:hAnsi="Arial" w:cs="Arial"/>
          <w:b/>
          <w:color w:val="2E4057"/>
          <w:sz w:val="32"/>
        </w:rPr>
        <w:t xml:space="preserve">   </w:t>
      </w:r>
      <w:r>
        <w:rPr>
          <w:rFonts w:ascii="Arial" w:eastAsia="Arial" w:hAnsi="Arial" w:cs="Arial"/>
          <w:b/>
          <w:color w:val="2E4057"/>
          <w:sz w:val="32"/>
        </w:rPr>
        <w:t>SWOT Analysis</w:t>
      </w:r>
      <w:r>
        <w:rPr>
          <w:rFonts w:ascii="Arial" w:eastAsia="Arial" w:hAnsi="Arial" w:cs="Arial"/>
          <w:b/>
          <w:color w:val="2E4057"/>
        </w:rPr>
        <w:t xml:space="preserve"> </w:t>
      </w:r>
    </w:p>
    <w:p w14:paraId="2F7FD32B" w14:textId="77777777" w:rsidR="00DB10D9" w:rsidRPr="00200558" w:rsidRDefault="002A2336" w:rsidP="00DB10D9">
      <w:pPr>
        <w:spacing w:after="0" w:line="360" w:lineRule="auto"/>
        <w:ind w:left="56"/>
        <w:jc w:val="center"/>
        <w:rPr>
          <w:b/>
          <w:bCs/>
          <w:sz w:val="36"/>
          <w:szCs w:val="36"/>
          <w:u w:val="single"/>
        </w:rPr>
      </w:pPr>
      <w:r>
        <w:t xml:space="preserve"> </w:t>
      </w:r>
      <w:r w:rsidR="00DB10D9" w:rsidRPr="00200558">
        <w:rPr>
          <w:b/>
          <w:bCs/>
          <w:sz w:val="36"/>
          <w:szCs w:val="36"/>
          <w:u w:val="single"/>
        </w:rPr>
        <w:t>GROUP 9</w:t>
      </w:r>
    </w:p>
    <w:p w14:paraId="55D4EFFD" w14:textId="77777777" w:rsidR="00DB10D9" w:rsidRPr="00200558" w:rsidRDefault="00DB10D9" w:rsidP="00DB10D9">
      <w:pPr>
        <w:spacing w:line="360" w:lineRule="auto"/>
        <w:ind w:left="56"/>
        <w:jc w:val="center"/>
        <w:rPr>
          <w:b/>
          <w:bCs/>
          <w:sz w:val="32"/>
          <w:szCs w:val="32"/>
        </w:rPr>
      </w:pPr>
      <w:r w:rsidRPr="00200558">
        <w:rPr>
          <w:b/>
          <w:bCs/>
          <w:color w:val="EE0000"/>
          <w:sz w:val="32"/>
          <w:szCs w:val="32"/>
        </w:rPr>
        <w:t xml:space="preserve">STUDENT: </w:t>
      </w:r>
      <w:r w:rsidRPr="00200558">
        <w:rPr>
          <w:b/>
          <w:bCs/>
          <w:sz w:val="32"/>
          <w:szCs w:val="32"/>
        </w:rPr>
        <w:t>BLESSING IDOWU JONATHAN</w:t>
      </w:r>
    </w:p>
    <w:p w14:paraId="65078ECE" w14:textId="77705921" w:rsidR="00DB10D9" w:rsidRPr="00200558" w:rsidRDefault="00DB10D9" w:rsidP="00DB10D9">
      <w:pPr>
        <w:spacing w:line="360" w:lineRule="auto"/>
        <w:ind w:left="56"/>
        <w:rPr>
          <w:b/>
          <w:bCs/>
          <w:sz w:val="32"/>
          <w:szCs w:val="32"/>
        </w:rPr>
      </w:pPr>
      <w:r w:rsidRPr="00200558">
        <w:rPr>
          <w:b/>
          <w:bCs/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</w:t>
      </w:r>
      <w:r w:rsidRPr="00200558">
        <w:rPr>
          <w:b/>
          <w:bCs/>
          <w:color w:val="EE0000"/>
          <w:sz w:val="32"/>
          <w:szCs w:val="32"/>
        </w:rPr>
        <w:t>STUDENT:</w:t>
      </w:r>
      <w:r w:rsidRPr="00200558">
        <w:rPr>
          <w:b/>
          <w:bCs/>
          <w:sz w:val="32"/>
          <w:szCs w:val="32"/>
        </w:rPr>
        <w:t xml:space="preserve"> ISAAC OBOIKINOME IDEHO</w:t>
      </w:r>
    </w:p>
    <w:p w14:paraId="6DFE6321" w14:textId="5D1D001C" w:rsidR="00DB10D9" w:rsidRPr="00200558" w:rsidRDefault="00DB10D9" w:rsidP="00DB10D9">
      <w:pPr>
        <w:spacing w:line="360" w:lineRule="auto"/>
        <w:ind w:left="56"/>
        <w:rPr>
          <w:b/>
          <w:bCs/>
          <w:sz w:val="32"/>
          <w:szCs w:val="32"/>
        </w:rPr>
      </w:pPr>
      <w:r w:rsidRPr="00200558">
        <w:rPr>
          <w:b/>
          <w:bCs/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</w:t>
      </w:r>
      <w:r w:rsidRPr="00200558">
        <w:rPr>
          <w:b/>
          <w:bCs/>
          <w:color w:val="EE0000"/>
          <w:sz w:val="32"/>
          <w:szCs w:val="32"/>
        </w:rPr>
        <w:t>STUDENT:</w:t>
      </w:r>
      <w:r w:rsidRPr="00200558">
        <w:rPr>
          <w:b/>
          <w:bCs/>
          <w:sz w:val="32"/>
          <w:szCs w:val="32"/>
        </w:rPr>
        <w:t xml:space="preserve"> HAO MAO</w:t>
      </w:r>
    </w:p>
    <w:p w14:paraId="532DD136" w14:textId="26FED9F9" w:rsidR="00DB10D9" w:rsidRPr="00200558" w:rsidRDefault="00DB10D9" w:rsidP="00DB10D9">
      <w:pPr>
        <w:spacing w:line="360" w:lineRule="auto"/>
        <w:ind w:left="56"/>
        <w:rPr>
          <w:b/>
          <w:bCs/>
          <w:sz w:val="32"/>
          <w:szCs w:val="32"/>
        </w:rPr>
      </w:pPr>
      <w:r w:rsidRPr="00200558">
        <w:rPr>
          <w:b/>
          <w:bCs/>
          <w:color w:val="EE0000"/>
          <w:sz w:val="32"/>
          <w:szCs w:val="32"/>
        </w:rPr>
        <w:t xml:space="preserve">                    </w:t>
      </w:r>
      <w:r>
        <w:rPr>
          <w:b/>
          <w:bCs/>
          <w:color w:val="EE0000"/>
          <w:sz w:val="32"/>
          <w:szCs w:val="32"/>
        </w:rPr>
        <w:tab/>
      </w:r>
      <w:r>
        <w:rPr>
          <w:b/>
          <w:bCs/>
          <w:color w:val="EE0000"/>
          <w:sz w:val="32"/>
          <w:szCs w:val="32"/>
        </w:rPr>
        <w:tab/>
      </w:r>
      <w:r>
        <w:rPr>
          <w:b/>
          <w:bCs/>
          <w:color w:val="EE0000"/>
          <w:sz w:val="32"/>
          <w:szCs w:val="32"/>
        </w:rPr>
        <w:tab/>
      </w:r>
      <w:r>
        <w:rPr>
          <w:b/>
          <w:bCs/>
          <w:color w:val="EE0000"/>
          <w:sz w:val="32"/>
          <w:szCs w:val="32"/>
        </w:rPr>
        <w:tab/>
        <w:t xml:space="preserve">   </w:t>
      </w:r>
      <w:r w:rsidRPr="00200558">
        <w:rPr>
          <w:b/>
          <w:bCs/>
          <w:color w:val="EE0000"/>
          <w:sz w:val="32"/>
          <w:szCs w:val="32"/>
        </w:rPr>
        <w:t xml:space="preserve">STUDENT: </w:t>
      </w:r>
      <w:r w:rsidRPr="00200558">
        <w:rPr>
          <w:b/>
          <w:bCs/>
          <w:sz w:val="32"/>
          <w:szCs w:val="32"/>
        </w:rPr>
        <w:t>EZINNE LYNDA ANYINOFU</w:t>
      </w:r>
    </w:p>
    <w:p w14:paraId="3EA3DA5A" w14:textId="1FBFF7EF" w:rsidR="002A2336" w:rsidRDefault="002A2336" w:rsidP="002A2336">
      <w:pPr>
        <w:spacing w:after="494"/>
        <w:ind w:left="56"/>
        <w:jc w:val="center"/>
      </w:pPr>
    </w:p>
    <w:p w14:paraId="51E55387" w14:textId="395126AA" w:rsidR="002A2336" w:rsidRDefault="002A2336" w:rsidP="00DB10D9">
      <w:pPr>
        <w:spacing w:after="896"/>
        <w:ind w:left="66"/>
        <w:jc w:val="center"/>
      </w:pPr>
      <w:r>
        <w:rPr>
          <w:sz w:val="28"/>
        </w:rPr>
        <w:t xml:space="preserve"> </w:t>
      </w:r>
    </w:p>
    <w:p w14:paraId="65C24EFD" w14:textId="54F74C0F" w:rsidR="002A2336" w:rsidRPr="002A2336" w:rsidRDefault="002A2336" w:rsidP="002A2336">
      <w:pPr>
        <w:spacing w:after="696"/>
        <w:ind w:left="56"/>
        <w:jc w:val="center"/>
        <w:rPr>
          <w:sz w:val="32"/>
          <w:szCs w:val="32"/>
        </w:rPr>
      </w:pPr>
      <w:r w:rsidRPr="002A2336">
        <w:rPr>
          <w:sz w:val="32"/>
          <w:szCs w:val="32"/>
        </w:rPr>
        <w:t>May 26</w:t>
      </w:r>
      <w:r w:rsidRPr="002A2336">
        <w:rPr>
          <w:sz w:val="32"/>
          <w:szCs w:val="32"/>
        </w:rPr>
        <w:t>, 2026</w:t>
      </w:r>
    </w:p>
    <w:p w14:paraId="554DA214" w14:textId="77777777" w:rsidR="002A2336" w:rsidRDefault="002A2336" w:rsidP="00DB10D9">
      <w:pPr>
        <w:rPr>
          <w:rFonts w:ascii="Georgia" w:hAnsi="Georgia"/>
          <w:b/>
          <w:color w:val="C00000"/>
          <w:sz w:val="36"/>
          <w:szCs w:val="36"/>
        </w:rPr>
      </w:pPr>
    </w:p>
    <w:p w14:paraId="09405AA1" w14:textId="0EF12CBA" w:rsidR="00F77D48" w:rsidRDefault="00000000">
      <w:pPr>
        <w:jc w:val="center"/>
        <w:rPr>
          <w:rFonts w:ascii="Georgia" w:hAnsi="Georgia"/>
          <w:b/>
          <w:color w:val="C00000"/>
          <w:sz w:val="36"/>
          <w:szCs w:val="36"/>
        </w:rPr>
      </w:pPr>
      <w:r>
        <w:rPr>
          <w:rFonts w:ascii="Georgia" w:hAnsi="Georgia"/>
          <w:b/>
          <w:color w:val="C00000"/>
          <w:sz w:val="36"/>
          <w:szCs w:val="36"/>
        </w:rPr>
        <w:lastRenderedPageBreak/>
        <w:t>SWOT Analysis</w:t>
      </w:r>
    </w:p>
    <w:p w14:paraId="04E17B2E" w14:textId="77777777" w:rsidR="00F77D48" w:rsidRDefault="00000000">
      <w:pPr>
        <w:jc w:val="center"/>
        <w:rPr>
          <w:b/>
          <w:color w:val="0071CE"/>
          <w:sz w:val="26"/>
        </w:rPr>
      </w:pPr>
      <w:r>
        <w:rPr>
          <w:b/>
          <w:color w:val="0071CE"/>
          <w:sz w:val="26"/>
        </w:rPr>
        <w:t>Walmart AI Transformation — Enterprise Risk Management Focus</w:t>
      </w:r>
    </w:p>
    <w:p w14:paraId="42E5B43A" w14:textId="6048E06A" w:rsidR="00F77D48" w:rsidRPr="001738FC" w:rsidRDefault="00000000">
      <w:pPr>
        <w:rPr>
          <w:sz w:val="24"/>
          <w:szCs w:val="28"/>
        </w:rPr>
      </w:pPr>
      <w:r w:rsidRPr="001738FC">
        <w:rPr>
          <w:b/>
          <w:sz w:val="24"/>
          <w:szCs w:val="28"/>
        </w:rPr>
        <w:t xml:space="preserve">Brainstorming Approach: </w:t>
      </w:r>
      <w:r w:rsidRPr="001738FC">
        <w:rPr>
          <w:sz w:val="24"/>
          <w:szCs w:val="28"/>
        </w:rPr>
        <w:t>Risks were identified through structured brainstorming across five operational dimensions: People, Processes, Technology, Facilities, and Other Critical Elements. Each risk was evaluated for contributing factors and controls in preparation for risk assessment and treatment.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7830"/>
      </w:tblGrid>
      <w:tr w:rsidR="00F77D48" w14:paraId="65AFF0A9" w14:textId="77777777" w:rsidTr="00AA3681">
        <w:trPr>
          <w:trHeight w:val="5200"/>
        </w:trPr>
        <w:tc>
          <w:tcPr>
            <w:tcW w:w="6475" w:type="dxa"/>
            <w:shd w:val="clear" w:color="auto" w:fill="E8F5E9"/>
          </w:tcPr>
          <w:p w14:paraId="013FE938" w14:textId="77777777" w:rsidR="00F77D48" w:rsidRDefault="00000000">
            <w:pPr>
              <w:rPr>
                <w:b/>
                <w:color w:val="1A5E2E"/>
                <w:sz w:val="30"/>
              </w:rPr>
            </w:pPr>
            <w:r>
              <w:rPr>
                <w:b/>
                <w:color w:val="1A5E2E"/>
                <w:sz w:val="30"/>
              </w:rPr>
              <w:t>STRENGTHS</w:t>
            </w:r>
          </w:p>
          <w:p w14:paraId="0BE2BC26" w14:textId="77777777" w:rsidR="00F77D48" w:rsidRDefault="00000000">
            <w:pPr>
              <w:rPr>
                <w:b/>
                <w:color w:val="1A5E2E"/>
                <w:sz w:val="20"/>
              </w:rPr>
            </w:pPr>
            <w:r>
              <w:rPr>
                <w:b/>
                <w:color w:val="1A5E2E"/>
                <w:sz w:val="20"/>
              </w:rPr>
              <w:t>1. Massive Scale, Data Assets and Technology Infrastructure</w:t>
            </w:r>
          </w:p>
          <w:p w14:paraId="1458B721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(Technology): </w:t>
            </w:r>
            <w:r>
              <w:rPr>
                <w:sz w:val="18"/>
              </w:rPr>
              <w:t>Data utilization rate; cloud infrastructure uptime threshold of 99.9 percent.</w:t>
            </w:r>
          </w:p>
          <w:p w14:paraId="2A762A3E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2.5 petabytes of daily transaction data; Azure and NVIDIA partnerships; 10,500 global stores generating substantial behavioral data assets.</w:t>
            </w:r>
          </w:p>
          <w:p w14:paraId="123F6607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Data governance framework; cloud security protocols; tiered access management policies.</w:t>
            </w:r>
          </w:p>
          <w:p w14:paraId="04C3010A" w14:textId="297E8CF0" w:rsidR="00E46225" w:rsidRPr="00E46225" w:rsidRDefault="00E46225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 xml:space="preserve">Data governance failure, cloud dependency disruption, AI </w:t>
            </w:r>
            <w:r>
              <w:rPr>
                <w:sz w:val="18"/>
                <w:lang w:eastAsia="zh-CN"/>
              </w:rPr>
              <w:t>infrastructure</w:t>
            </w:r>
            <w:r>
              <w:rPr>
                <w:rFonts w:hint="eastAsia"/>
                <w:sz w:val="18"/>
                <w:lang w:eastAsia="zh-CN"/>
              </w:rPr>
              <w:t xml:space="preserve"> scalability risk.</w:t>
            </w:r>
          </w:p>
          <w:p w14:paraId="2539E00A" w14:textId="77777777" w:rsidR="00F77D48" w:rsidRDefault="00000000">
            <w:pPr>
              <w:rPr>
                <w:b/>
                <w:color w:val="1A5E2E"/>
                <w:sz w:val="20"/>
              </w:rPr>
            </w:pPr>
            <w:r>
              <w:rPr>
                <w:b/>
                <w:color w:val="1A5E2E"/>
                <w:sz w:val="20"/>
              </w:rPr>
              <w:t>2. Strong Financial Position and Risk Absorption Capacity</w:t>
            </w:r>
          </w:p>
          <w:p w14:paraId="3854B863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(Processes): </w:t>
            </w:r>
            <w:r>
              <w:rPr>
                <w:sz w:val="18"/>
              </w:rPr>
              <w:t>AI investment return on investment; budget variance versus project milestones maintained within 10 percent.</w:t>
            </w:r>
          </w:p>
          <w:p w14:paraId="25327A82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13.7 billion USD annual operating cash flow; 648 billion USD annual revenue; diversified retail and e-commerce revenue base providing financial resilience.</w:t>
            </w:r>
          </w:p>
          <w:p w14:paraId="1C92826E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Capital allocation thresholds; project stage-gate approvals; financial risk monitoring dashboards.</w:t>
            </w:r>
          </w:p>
          <w:p w14:paraId="4AE53C12" w14:textId="455417D1" w:rsidR="00E46225" w:rsidRPr="00E46225" w:rsidRDefault="00E46225" w:rsidP="00E46225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>AI project overspending, ROI realization uncertainty, investment prioritization risk.</w:t>
            </w:r>
          </w:p>
          <w:p w14:paraId="3BA26817" w14:textId="77777777" w:rsidR="00F77D48" w:rsidRDefault="00000000">
            <w:pPr>
              <w:rPr>
                <w:b/>
                <w:color w:val="1A5E2E"/>
                <w:sz w:val="20"/>
              </w:rPr>
            </w:pPr>
            <w:r>
              <w:rPr>
                <w:b/>
                <w:color w:val="1A5E2E"/>
                <w:sz w:val="20"/>
              </w:rPr>
              <w:t>3. Established Supply Chain and Logistics Network</w:t>
            </w:r>
          </w:p>
          <w:p w14:paraId="608001AF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(Facilities): </w:t>
            </w:r>
            <w:r>
              <w:rPr>
                <w:sz w:val="18"/>
              </w:rPr>
              <w:t>Supply chain disruption frequency; AI integration uptime; distribution center capacity utilization maintained below 85 percent.</w:t>
            </w:r>
          </w:p>
          <w:p w14:paraId="29CD93C8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210 distribution centers; decades of logistics expertise; established supplier relationships that facilitate rapid AI deployment across the distribution network.</w:t>
            </w:r>
          </w:p>
          <w:p w14:paraId="1E679E49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Redundancy protocols; vendor risk assessments; business continuity and disaster recovery plans.</w:t>
            </w:r>
          </w:p>
          <w:p w14:paraId="4EAB2723" w14:textId="0752BA5C" w:rsidR="00E46225" w:rsidRDefault="00E46225" w:rsidP="00E46225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F95B41">
              <w:rPr>
                <w:rFonts w:hint="eastAsia"/>
                <w:sz w:val="18"/>
                <w:lang w:eastAsia="zh-CN"/>
              </w:rPr>
              <w:t>AI forecasting disruption, warehouse automation failure, supplier integration interruption.</w:t>
            </w:r>
          </w:p>
        </w:tc>
        <w:tc>
          <w:tcPr>
            <w:tcW w:w="7830" w:type="dxa"/>
            <w:shd w:val="clear" w:color="auto" w:fill="FFEBEE"/>
          </w:tcPr>
          <w:p w14:paraId="17094E7F" w14:textId="77777777" w:rsidR="00F77D48" w:rsidRDefault="00000000">
            <w:pPr>
              <w:rPr>
                <w:b/>
                <w:color w:val="B71C1C"/>
                <w:sz w:val="30"/>
              </w:rPr>
            </w:pPr>
            <w:r>
              <w:rPr>
                <w:b/>
                <w:color w:val="B71C1C"/>
                <w:sz w:val="30"/>
              </w:rPr>
              <w:t>WEAKNESSES</w:t>
            </w:r>
          </w:p>
          <w:p w14:paraId="5B151D60" w14:textId="77777777" w:rsidR="00F77D48" w:rsidRDefault="00000000">
            <w:pPr>
              <w:rPr>
                <w:b/>
                <w:color w:val="B71C1C"/>
                <w:sz w:val="20"/>
              </w:rPr>
            </w:pPr>
            <w:r>
              <w:rPr>
                <w:b/>
                <w:color w:val="B71C1C"/>
                <w:sz w:val="20"/>
              </w:rPr>
              <w:t>1. Legacy System Dependencies and Technical Debt</w:t>
            </w:r>
          </w:p>
          <w:p w14:paraId="5414D167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(Technology): </w:t>
            </w:r>
            <w:r>
              <w:rPr>
                <w:sz w:val="18"/>
              </w:rPr>
              <w:t>Number of legacy integration failures per quarter; system downtime frequency following AI deployment.</w:t>
            </w:r>
          </w:p>
          <w:p w14:paraId="3DB23AFA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Decades of disparate technology investments; high cost of ERP and POS system replacement; API incompatibility between legacy and AI platforms.</w:t>
            </w:r>
          </w:p>
          <w:p w14:paraId="798D6B7F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System compatibility audits; phased migration plans; parallel system operation during transition; rollback capability.</w:t>
            </w:r>
          </w:p>
          <w:p w14:paraId="2A2624C3" w14:textId="3A034E2A" w:rsidR="00F82248" w:rsidRPr="00F82248" w:rsidRDefault="00F82248" w:rsidP="00F82248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 xml:space="preserve">System integration failure, AI deployment disruption, operational downtime, data synchronization failure. </w:t>
            </w:r>
          </w:p>
          <w:p w14:paraId="4161EFCE" w14:textId="77777777" w:rsidR="00F77D48" w:rsidRDefault="00000000">
            <w:pPr>
              <w:rPr>
                <w:b/>
                <w:color w:val="B71C1C"/>
                <w:sz w:val="20"/>
              </w:rPr>
            </w:pPr>
            <w:r>
              <w:rPr>
                <w:b/>
                <w:color w:val="B71C1C"/>
                <w:sz w:val="20"/>
              </w:rPr>
              <w:t>2. Workforce AI Readiness and Change Management Gaps</w:t>
            </w:r>
          </w:p>
          <w:p w14:paraId="653997A9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(People): </w:t>
            </w:r>
            <w:r>
              <w:rPr>
                <w:sz w:val="18"/>
              </w:rPr>
              <w:t>Employee AI training completion rate at or above 80 percent; workforce turnover maintained below 15 percent during AI transition; productivity variance monitoring.</w:t>
            </w:r>
          </w:p>
          <w:p w14:paraId="6D7C28D3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1.6 million U.S. employees requiring retraining; geographically dispersed workforce; varying digital literacy levels; concerns regarding job displacement.</w:t>
            </w:r>
          </w:p>
          <w:p w14:paraId="4F371F36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AI literacy programs; structured change management framework; employee communication strategy; reskilling and upskilling investments.</w:t>
            </w:r>
          </w:p>
          <w:p w14:paraId="743EC774" w14:textId="437373F7" w:rsidR="00F82248" w:rsidRPr="00F82248" w:rsidRDefault="00F82248" w:rsidP="00F82248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 xml:space="preserve">Employee resistance to AI adoption, talent retention risk, </w:t>
            </w:r>
            <w:r>
              <w:rPr>
                <w:sz w:val="18"/>
                <w:lang w:eastAsia="zh-CN"/>
              </w:rPr>
              <w:t>productivity</w:t>
            </w:r>
            <w:r>
              <w:rPr>
                <w:rFonts w:hint="eastAsia"/>
                <w:sz w:val="18"/>
                <w:lang w:eastAsia="zh-CN"/>
              </w:rPr>
              <w:t xml:space="preserve"> decline during transition.</w:t>
            </w:r>
          </w:p>
          <w:p w14:paraId="10B53E80" w14:textId="77777777" w:rsidR="00F77D48" w:rsidRDefault="00000000">
            <w:pPr>
              <w:rPr>
                <w:b/>
                <w:color w:val="B71C1C"/>
                <w:sz w:val="20"/>
              </w:rPr>
            </w:pPr>
            <w:r>
              <w:rPr>
                <w:b/>
                <w:color w:val="B71C1C"/>
                <w:sz w:val="20"/>
              </w:rPr>
              <w:t>3. Data Governance Immaturity and Information Security Risk</w:t>
            </w:r>
          </w:p>
          <w:p w14:paraId="142B6CD9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(Processes): </w:t>
            </w:r>
            <w:r>
              <w:rPr>
                <w:sz w:val="18"/>
              </w:rPr>
              <w:t>Data quality scores; policy violations maintained below 5 per quarter; compliance audit findings; number of data incidents per reporting period.</w:t>
            </w:r>
          </w:p>
          <w:p w14:paraId="60FB8B16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Siloed business units with inconsistent data standards; absence of enterprise-wide data ownership; immature AI model governance structures.</w:t>
            </w:r>
          </w:p>
          <w:p w14:paraId="298C0D5B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Enterprise data governance policy; data stewardship roles; GDPR and CCPA compliance monitoring; data classification framework.</w:t>
            </w:r>
          </w:p>
          <w:p w14:paraId="50C108CC" w14:textId="15030EB3" w:rsidR="00F82248" w:rsidRDefault="00F82248" w:rsidP="00F82248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>Regulatory non-compliance, data breach exposure, inaccurate AI decision making.</w:t>
            </w:r>
          </w:p>
          <w:p w14:paraId="3ADF51BC" w14:textId="2CBD9819" w:rsidR="00B5741D" w:rsidRDefault="00B5741D" w:rsidP="00B5741D">
            <w:pPr>
              <w:rPr>
                <w:b/>
                <w:color w:val="B71C1C"/>
                <w:sz w:val="20"/>
              </w:rPr>
            </w:pPr>
            <w:r>
              <w:rPr>
                <w:rFonts w:hint="eastAsia"/>
                <w:b/>
                <w:color w:val="B71C1C"/>
                <w:sz w:val="20"/>
                <w:lang w:eastAsia="zh-CN"/>
              </w:rPr>
              <w:t>4</w:t>
            </w:r>
            <w:r>
              <w:rPr>
                <w:b/>
                <w:color w:val="B71C1C"/>
                <w:sz w:val="20"/>
              </w:rPr>
              <w:t xml:space="preserve">. </w:t>
            </w:r>
            <w:r w:rsidRPr="00B5741D">
              <w:rPr>
                <w:b/>
                <w:color w:val="B71C1C"/>
                <w:sz w:val="20"/>
              </w:rPr>
              <w:t>Vendor Dependency and Cloud Concentration Risk</w:t>
            </w:r>
          </w:p>
          <w:p w14:paraId="205F68A4" w14:textId="09BDD94A" w:rsidR="00B5741D" w:rsidRDefault="00B5741D" w:rsidP="00B5741D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>KRI (Processes):</w:t>
            </w:r>
            <w:r>
              <w:rPr>
                <w:rFonts w:hint="eastAsia"/>
                <w:sz w:val="18"/>
                <w:lang w:eastAsia="zh-CN"/>
              </w:rPr>
              <w:t xml:space="preserve"> Vendor SLA breach rate, Cloud service outrage duration</w:t>
            </w:r>
            <w:r>
              <w:rPr>
                <w:sz w:val="18"/>
              </w:rPr>
              <w:t>.</w:t>
            </w:r>
          </w:p>
          <w:p w14:paraId="073E192C" w14:textId="2A00F53D" w:rsidR="00B5741D" w:rsidRDefault="00B5741D" w:rsidP="00B5741D">
            <w:pPr>
              <w:ind w:left="200"/>
              <w:rPr>
                <w:sz w:val="18"/>
                <w:lang w:eastAsia="zh-CN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rFonts w:hint="eastAsia"/>
                <w:sz w:val="18"/>
                <w:lang w:eastAsia="zh-CN"/>
              </w:rPr>
              <w:t>Dependence on Azure cloud infrastructure, high switching costs and AI infrastructure concentration.</w:t>
            </w:r>
          </w:p>
          <w:p w14:paraId="068E6904" w14:textId="2DF7241A" w:rsidR="00B5741D" w:rsidRPr="00B5741D" w:rsidRDefault="00B5741D" w:rsidP="00B5741D">
            <w:pPr>
              <w:ind w:left="200"/>
              <w:rPr>
                <w:sz w:val="18"/>
                <w:lang w:eastAsia="zh-CN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rFonts w:hint="eastAsia"/>
                <w:sz w:val="18"/>
                <w:lang w:eastAsia="zh-CN"/>
              </w:rPr>
              <w:t>Multi-cloud strategy, Vendor redundancy planning, SLA monitoring.</w:t>
            </w:r>
          </w:p>
          <w:p w14:paraId="2D13A50F" w14:textId="774854A2" w:rsidR="00B5741D" w:rsidRDefault="00F82248" w:rsidP="001738FC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>Cloud service disruption, Vendor lock-in risk limiting strategic flexibility, third-party dependency risk.</w:t>
            </w:r>
          </w:p>
        </w:tc>
      </w:tr>
      <w:tr w:rsidR="00F77D48" w14:paraId="2739C125" w14:textId="77777777" w:rsidTr="00AA3681">
        <w:trPr>
          <w:trHeight w:val="6500"/>
        </w:trPr>
        <w:tc>
          <w:tcPr>
            <w:tcW w:w="6475" w:type="dxa"/>
            <w:shd w:val="clear" w:color="auto" w:fill="E3F2FD"/>
          </w:tcPr>
          <w:p w14:paraId="29B076C9" w14:textId="77777777" w:rsidR="00F77D48" w:rsidRDefault="00000000">
            <w:pPr>
              <w:rPr>
                <w:b/>
                <w:color w:val="0D47A1"/>
                <w:sz w:val="30"/>
              </w:rPr>
            </w:pPr>
            <w:r>
              <w:rPr>
                <w:b/>
                <w:color w:val="0D47A1"/>
                <w:sz w:val="30"/>
              </w:rPr>
              <w:lastRenderedPageBreak/>
              <w:t>OPPORTUNITIES</w:t>
            </w:r>
          </w:p>
          <w:p w14:paraId="71C9CC5E" w14:textId="77777777" w:rsidR="00F77D48" w:rsidRDefault="00000000">
            <w:pPr>
              <w:rPr>
                <w:b/>
                <w:color w:val="0D47A1"/>
                <w:sz w:val="20"/>
              </w:rPr>
            </w:pPr>
            <w:r>
              <w:rPr>
                <w:b/>
                <w:color w:val="0D47A1"/>
                <w:sz w:val="20"/>
              </w:rPr>
              <w:t>1. AI-Driven Supply Chain Optimization and Cost Reduction</w:t>
            </w:r>
          </w:p>
          <w:p w14:paraId="65B219B3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(Facilities/Processes): </w:t>
            </w:r>
            <w:r>
              <w:rPr>
                <w:sz w:val="18"/>
              </w:rPr>
              <w:t>Inventory turnover improvement rate; AI forecast accuracy versus actual demand variance maintained within 5 percent.</w:t>
            </w:r>
          </w:p>
          <w:p w14:paraId="7C90C310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Substantial historical transaction datasets; existing distribution infrastructure; real-time IoT sensors in warehouses that facilitate predictive restocking operations.</w:t>
            </w:r>
          </w:p>
          <w:p w14:paraId="58983140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AI model validation protocols; manual fallback processes; supplier risk diversification; SLA enforcement with logistics partners.</w:t>
            </w:r>
          </w:p>
          <w:p w14:paraId="776F0A47" w14:textId="11983250" w:rsidR="00F82248" w:rsidRDefault="00F82248">
            <w:pPr>
              <w:ind w:left="200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>
              <w:rPr>
                <w:rFonts w:hint="eastAsia"/>
                <w:sz w:val="18"/>
                <w:lang w:eastAsia="zh-CN"/>
              </w:rPr>
              <w:t xml:space="preserve">AI </w:t>
            </w:r>
            <w:r w:rsidR="005635FE">
              <w:rPr>
                <w:rFonts w:hint="eastAsia"/>
                <w:sz w:val="18"/>
                <w:lang w:eastAsia="zh-CN"/>
              </w:rPr>
              <w:t>forecast inaccuracies, inventory imbalance, supply chain automation failure</w:t>
            </w:r>
          </w:p>
          <w:p w14:paraId="61A64894" w14:textId="77777777" w:rsidR="00F77D48" w:rsidRDefault="00000000">
            <w:pPr>
              <w:rPr>
                <w:b/>
                <w:color w:val="0D47A1"/>
                <w:sz w:val="20"/>
              </w:rPr>
            </w:pPr>
            <w:r>
              <w:rPr>
                <w:b/>
                <w:color w:val="0D47A1"/>
                <w:sz w:val="20"/>
              </w:rPr>
              <w:t>2. Personalized Customer Experience and Revenue Growth</w:t>
            </w:r>
          </w:p>
          <w:p w14:paraId="433B37EC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(People/Technology): </w:t>
            </w:r>
            <w:r>
              <w:rPr>
                <w:sz w:val="18"/>
              </w:rPr>
              <w:t>Customer satisfaction scores; AI-attributed revenue uplift; conversion rate improvements; Walmart membership growth rate.</w:t>
            </w:r>
          </w:p>
          <w:p w14:paraId="51DD30A0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240 million weekly customers; subscription program data assets; substantial purchase behavior history that supports AI recommendation engine development.</w:t>
            </w:r>
          </w:p>
          <w:p w14:paraId="2D9F4670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Customer data privacy policies; algorithmic fairness audits; opt-out mechanisms for personalization; CCPA compliance program.</w:t>
            </w:r>
          </w:p>
          <w:p w14:paraId="09416EC6" w14:textId="025A6D46" w:rsidR="00F82248" w:rsidRPr="005635FE" w:rsidRDefault="00F82248">
            <w:pPr>
              <w:ind w:left="200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5635FE" w:rsidRPr="005635FE">
              <w:rPr>
                <w:rFonts w:hint="eastAsia"/>
                <w:sz w:val="18"/>
                <w:lang w:eastAsia="zh-CN"/>
              </w:rPr>
              <w:t>Algorithmic bias,</w:t>
            </w:r>
            <w:r w:rsidR="005635FE">
              <w:rPr>
                <w:rFonts w:hint="eastAsia"/>
                <w:b/>
                <w:bCs/>
                <w:sz w:val="18"/>
                <w:lang w:eastAsia="zh-CN"/>
              </w:rPr>
              <w:t xml:space="preserve"> </w:t>
            </w:r>
            <w:r w:rsidR="005635FE">
              <w:rPr>
                <w:rFonts w:hint="eastAsia"/>
                <w:sz w:val="18"/>
                <w:lang w:eastAsia="zh-CN"/>
              </w:rPr>
              <w:t>customer privacy concerns, personalization system failure.</w:t>
            </w:r>
          </w:p>
          <w:p w14:paraId="525E0822" w14:textId="77777777" w:rsidR="00F77D48" w:rsidRDefault="00000000">
            <w:pPr>
              <w:rPr>
                <w:b/>
                <w:color w:val="0D47A1"/>
                <w:sz w:val="20"/>
              </w:rPr>
            </w:pPr>
            <w:r>
              <w:rPr>
                <w:b/>
                <w:color w:val="0D47A1"/>
                <w:sz w:val="20"/>
              </w:rPr>
              <w:t>3. New Revenue Streams via Walmart Connect and Retail Media</w:t>
            </w:r>
          </w:p>
          <w:p w14:paraId="7C6AEB32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(Processes/Other): </w:t>
            </w:r>
            <w:r>
              <w:rPr>
                <w:sz w:val="18"/>
              </w:rPr>
              <w:t>Advertising revenue growth rate; third-party data partnership compliance rates; retail media market share.</w:t>
            </w:r>
          </w:p>
          <w:p w14:paraId="2CCDDE1E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Established advertiser relationships; substantial shopper purchase data assets; Walmart Connect platform infrastructure; expanding digital advertising market.</w:t>
            </w:r>
          </w:p>
          <w:p w14:paraId="6761C035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Advertising compliance framework; data monetization governance policy; partner vetting and contractual controls; FTC compliance monitoring.</w:t>
            </w:r>
          </w:p>
          <w:p w14:paraId="0DDD07A3" w14:textId="25478C86" w:rsidR="00F82248" w:rsidRPr="00AA3681" w:rsidRDefault="00F82248">
            <w:pPr>
              <w:ind w:left="200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AA3681">
              <w:rPr>
                <w:rFonts w:hint="eastAsia"/>
                <w:sz w:val="18"/>
                <w:lang w:eastAsia="zh-CN"/>
              </w:rPr>
              <w:t>Data monetization controversy, third-party data misuse, advertising compliance violations.</w:t>
            </w:r>
          </w:p>
          <w:p w14:paraId="6E2B5C76" w14:textId="581B57AF" w:rsidR="00B5741D" w:rsidRDefault="00B5741D" w:rsidP="00B5741D">
            <w:pPr>
              <w:rPr>
                <w:b/>
                <w:color w:val="0D47A1"/>
                <w:sz w:val="20"/>
              </w:rPr>
            </w:pPr>
            <w:r>
              <w:rPr>
                <w:rFonts w:hint="eastAsia"/>
                <w:b/>
                <w:color w:val="0D47A1"/>
                <w:sz w:val="20"/>
                <w:lang w:eastAsia="zh-CN"/>
              </w:rPr>
              <w:t>4</w:t>
            </w:r>
            <w:r>
              <w:rPr>
                <w:b/>
                <w:color w:val="0D47A1"/>
                <w:sz w:val="20"/>
              </w:rPr>
              <w:t xml:space="preserve">. </w:t>
            </w:r>
            <w:r w:rsidRPr="00B5741D">
              <w:rPr>
                <w:b/>
                <w:color w:val="0D47A1"/>
                <w:sz w:val="20"/>
              </w:rPr>
              <w:t>Predictive Enterprise Risk Monitoring</w:t>
            </w:r>
          </w:p>
          <w:p w14:paraId="1087153A" w14:textId="7E5D5650" w:rsidR="00B5741D" w:rsidRPr="00B5741D" w:rsidRDefault="00B5741D" w:rsidP="00B5741D">
            <w:pPr>
              <w:ind w:left="200"/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</w:rPr>
              <w:t>KRI (Process</w:t>
            </w:r>
            <w:r>
              <w:rPr>
                <w:rFonts w:hint="eastAsia"/>
                <w:b/>
                <w:sz w:val="18"/>
                <w:lang w:eastAsia="zh-CN"/>
              </w:rPr>
              <w:t>/Facilities</w:t>
            </w:r>
            <w:r>
              <w:rPr>
                <w:b/>
                <w:sz w:val="18"/>
              </w:rPr>
              <w:t xml:space="preserve">): </w:t>
            </w:r>
            <w:r>
              <w:rPr>
                <w:rFonts w:hint="eastAsia"/>
                <w:bCs/>
                <w:sz w:val="18"/>
                <w:lang w:eastAsia="zh-CN"/>
              </w:rPr>
              <w:t>Early risk detection accuracy, fraud detection rate, supply chain disruption prediction rate.</w:t>
            </w:r>
          </w:p>
          <w:p w14:paraId="29461D60" w14:textId="7687B51A" w:rsidR="00B5741D" w:rsidRPr="00B85E80" w:rsidRDefault="00B5741D" w:rsidP="00B5741D">
            <w:pPr>
              <w:ind w:left="200"/>
              <w:rPr>
                <w:sz w:val="18"/>
                <w:lang w:eastAsia="zh-CN"/>
              </w:rPr>
            </w:pPr>
            <w:r>
              <w:rPr>
                <w:b/>
                <w:sz w:val="18"/>
              </w:rPr>
              <w:t xml:space="preserve">Contributing Factors: </w:t>
            </w:r>
            <w:r w:rsidR="00B85E80">
              <w:rPr>
                <w:rFonts w:hint="eastAsia"/>
                <w:sz w:val="18"/>
                <w:lang w:eastAsia="zh-CN"/>
              </w:rPr>
              <w:t xml:space="preserve">Large-scale real-time operational data, machine learning predictive </w:t>
            </w:r>
            <w:r w:rsidR="00B85E80">
              <w:rPr>
                <w:sz w:val="18"/>
                <w:lang w:eastAsia="zh-CN"/>
              </w:rPr>
              <w:t>capabilities</w:t>
            </w:r>
            <w:r w:rsidR="00B85E80">
              <w:rPr>
                <w:rFonts w:hint="eastAsia"/>
                <w:sz w:val="18"/>
                <w:lang w:eastAsia="zh-CN"/>
              </w:rPr>
              <w:t xml:space="preserve">. </w:t>
            </w:r>
          </w:p>
          <w:p w14:paraId="01E1B469" w14:textId="2F5F24D3" w:rsidR="00B5741D" w:rsidRDefault="00B5741D" w:rsidP="00B5741D">
            <w:pPr>
              <w:ind w:left="200"/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</w:rPr>
              <w:t xml:space="preserve">Controls: </w:t>
            </w:r>
            <w:r w:rsidR="00B85E80">
              <w:rPr>
                <w:rFonts w:hint="eastAsia"/>
                <w:bCs/>
                <w:sz w:val="18"/>
                <w:lang w:eastAsia="zh-CN"/>
              </w:rPr>
              <w:t xml:space="preserve">Continuous monitoring systems, AI governance oversight and human validation processes. </w:t>
            </w:r>
          </w:p>
          <w:p w14:paraId="1D92AF82" w14:textId="019400A9" w:rsidR="00F82248" w:rsidRPr="00AA3681" w:rsidRDefault="00F82248" w:rsidP="00B5741D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AA3681">
              <w:rPr>
                <w:rFonts w:hint="eastAsia"/>
                <w:sz w:val="18"/>
                <w:lang w:eastAsia="zh-CN"/>
              </w:rPr>
              <w:t>Fraud detection failure, false risk prediction alerts, over-reliance on automated risk monitoring systems</w:t>
            </w:r>
          </w:p>
          <w:p w14:paraId="70CEEF99" w14:textId="77777777" w:rsidR="00B5741D" w:rsidRDefault="00B5741D" w:rsidP="00B5741D">
            <w:pPr>
              <w:rPr>
                <w:sz w:val="18"/>
              </w:rPr>
            </w:pPr>
          </w:p>
        </w:tc>
        <w:tc>
          <w:tcPr>
            <w:tcW w:w="7830" w:type="dxa"/>
            <w:shd w:val="clear" w:color="auto" w:fill="FFF3E0"/>
          </w:tcPr>
          <w:p w14:paraId="4DCAC475" w14:textId="77777777" w:rsidR="00F77D48" w:rsidRDefault="00000000">
            <w:pPr>
              <w:rPr>
                <w:b/>
                <w:color w:val="E65100"/>
                <w:sz w:val="30"/>
              </w:rPr>
            </w:pPr>
            <w:r>
              <w:rPr>
                <w:b/>
                <w:color w:val="E65100"/>
                <w:sz w:val="30"/>
              </w:rPr>
              <w:t>THREATS</w:t>
            </w:r>
          </w:p>
          <w:p w14:paraId="76DF8A5A" w14:textId="77777777" w:rsidR="00F77D48" w:rsidRDefault="00000000">
            <w:pPr>
              <w:rPr>
                <w:i/>
                <w:color w:val="888888"/>
                <w:sz w:val="18"/>
              </w:rPr>
            </w:pPr>
            <w:r>
              <w:rPr>
                <w:i/>
                <w:color w:val="888888"/>
                <w:sz w:val="18"/>
              </w:rPr>
              <w:t>Note: The threats identified below differentiate Walmart's competitive position by placing the organization in market and operational conditions substantially different from those it has managed under its traditional retail model.</w:t>
            </w:r>
          </w:p>
          <w:p w14:paraId="78CB9454" w14:textId="77777777" w:rsidR="00F77D48" w:rsidRDefault="00000000">
            <w:pPr>
              <w:rPr>
                <w:b/>
                <w:color w:val="E65100"/>
                <w:sz w:val="20"/>
              </w:rPr>
            </w:pPr>
            <w:r>
              <w:rPr>
                <w:b/>
                <w:color w:val="E65100"/>
                <w:sz w:val="20"/>
              </w:rPr>
              <w:t>1. Competitive AI Disruption from Amazon, Target and AI-Native Entrants</w:t>
            </w:r>
          </w:p>
          <w:p w14:paraId="3506619D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(Other/Processes): </w:t>
            </w:r>
            <w:r>
              <w:rPr>
                <w:sz w:val="18"/>
              </w:rPr>
              <w:t>Market share trends in AI-enabled retail categories; competitor AI capability benchmarking scores; customer attrition rate.</w:t>
            </w:r>
          </w:p>
          <w:p w14:paraId="50DB8AB1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Amazon's decade-long AI-first operational foundation; emergence of AI-native direct-to-consumer brands; accelerated AI development cycles by technology-born competitors that place Walmart in a competitive environment substantially different from its traditional retail operations.</w:t>
            </w:r>
          </w:p>
          <w:p w14:paraId="11648D28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Competitive intelligence program; strategic AI investment roadmap; acquisition pipeline for AI capability development; accelerated innovation laboratories.</w:t>
            </w:r>
          </w:p>
          <w:p w14:paraId="7188A7B8" w14:textId="53DEB93B" w:rsidR="00F82248" w:rsidRPr="00AA3681" w:rsidRDefault="00F82248" w:rsidP="00F82248">
            <w:pPr>
              <w:ind w:left="200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AA3681">
              <w:rPr>
                <w:rFonts w:hint="eastAsia"/>
                <w:sz w:val="18"/>
                <w:lang w:eastAsia="zh-CN"/>
              </w:rPr>
              <w:t>Market share erosion, customer attrition, accelerated competitive innovation pressure</w:t>
            </w:r>
          </w:p>
          <w:p w14:paraId="5987FDBD" w14:textId="77777777" w:rsidR="00F77D48" w:rsidRDefault="00000000">
            <w:pPr>
              <w:rPr>
                <w:b/>
                <w:color w:val="B71C1C"/>
                <w:sz w:val="20"/>
              </w:rPr>
            </w:pPr>
            <w:r>
              <w:rPr>
                <w:b/>
                <w:color w:val="B71C1C"/>
                <w:sz w:val="20"/>
              </w:rPr>
              <w:t>2. TECHNICAL RISK: AI Model Failure, Drift and Legacy Integration</w:t>
            </w:r>
          </w:p>
          <w:p w14:paraId="511E1D11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(Technology): </w:t>
            </w:r>
            <w:r>
              <w:rPr>
                <w:sz w:val="18"/>
              </w:rPr>
              <w:t>AI model accuracy degradation maintained within 5 percent; system uptime at or above 99.5 percent; vendor SLA compliance rate; number of critical technical failures per quarter.</w:t>
            </w:r>
          </w:p>
          <w:p w14:paraId="0B4DF41D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AI model performance degradation over time absent continuous retraining; legacy ERP and POS incompatibility with AI platforms; vendor concentration risk across Azure and NVIDIA; insufficient model governance frameworks that place Walmart in a substantially more complex operational risk environment than its pre-AI technology baseline.</w:t>
            </w:r>
          </w:p>
          <w:p w14:paraId="489AB555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Continuous model performance monitoring; scheduled retraining pipelines; integrated human oversight at critical AI decision points; multi-vendor strategy; phased deployment with rollback capability; API gateway architecture.</w:t>
            </w:r>
          </w:p>
          <w:p w14:paraId="2E35C22E" w14:textId="66BFC4A8" w:rsidR="00F82248" w:rsidRPr="00AA3681" w:rsidRDefault="00F82248" w:rsidP="00F82248">
            <w:pPr>
              <w:ind w:left="200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AA3681">
              <w:rPr>
                <w:rFonts w:hint="eastAsia"/>
                <w:sz w:val="18"/>
                <w:lang w:eastAsia="zh-CN"/>
              </w:rPr>
              <w:t>Unexpected model degradation, real-time synchronization failure</w:t>
            </w:r>
          </w:p>
          <w:p w14:paraId="722B4B94" w14:textId="77777777" w:rsidR="00F77D48" w:rsidRDefault="00000000">
            <w:pPr>
              <w:rPr>
                <w:b/>
                <w:color w:val="B71C1C"/>
                <w:sz w:val="20"/>
              </w:rPr>
            </w:pPr>
            <w:r>
              <w:rPr>
                <w:b/>
                <w:color w:val="B71C1C"/>
                <w:sz w:val="20"/>
              </w:rPr>
              <w:t>3. INFORMATION SECURITY RISK: Cyber Threats, Data Breach and Regulatory Non-Compliance</w:t>
            </w:r>
          </w:p>
          <w:p w14:paraId="01FF5478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KRI (Technology/People/Other): </w:t>
            </w:r>
            <w:r>
              <w:rPr>
                <w:sz w:val="18"/>
              </w:rPr>
              <w:t>Security incidents maintained below 2 critical events per year; time-to-detect breaches; AI model integrity scores; regulatory investigation count; compliance gap assessment scores.</w:t>
            </w:r>
          </w:p>
          <w:p w14:paraId="3B58420E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sz w:val="18"/>
              </w:rPr>
              <w:t>AI-expanded attack surface; adversarial AI and model poisoning vulnerabilities; personally identifiable information of 240 million weekly customers at elevated risk; evolving AI regulations including the EU AI Act and FTC guidelines that place Walmart in a substantially more complex legal and cybersecurity environment than its pre-AI operational baseline.</w:t>
            </w:r>
          </w:p>
          <w:p w14:paraId="77700892" w14:textId="77777777" w:rsidR="00F77D48" w:rsidRDefault="00000000">
            <w:pPr>
              <w:ind w:left="200"/>
              <w:rPr>
                <w:sz w:val="18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sz w:val="18"/>
              </w:rPr>
              <w:t>Zero-trust architecture; end-to-end encryption; multi-factor authentication and privileged access management; Security Operations Center monitoring; adversarial AI testing protocols; legal AI review board; ethics committee; cyber insurance; GDPR and CCPA compliance program; regulatory change monitoring.</w:t>
            </w:r>
          </w:p>
          <w:p w14:paraId="57DB9C3C" w14:textId="674408A2" w:rsidR="00F82248" w:rsidRPr="00AA3681" w:rsidRDefault="00F82248" w:rsidP="00F82248">
            <w:pPr>
              <w:ind w:left="200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AA3681">
              <w:rPr>
                <w:rFonts w:hint="eastAsia"/>
                <w:sz w:val="18"/>
                <w:lang w:eastAsia="zh-CN"/>
              </w:rPr>
              <w:t xml:space="preserve">Adversarial AI attacks, large-scale customer data exposure, regulatory </w:t>
            </w:r>
            <w:r w:rsidR="00AA3681">
              <w:rPr>
                <w:sz w:val="18"/>
                <w:lang w:eastAsia="zh-CN"/>
              </w:rPr>
              <w:t>penalties</w:t>
            </w:r>
            <w:r w:rsidR="00AA3681">
              <w:rPr>
                <w:rFonts w:hint="eastAsia"/>
                <w:sz w:val="18"/>
                <w:lang w:eastAsia="zh-CN"/>
              </w:rPr>
              <w:t xml:space="preserve"> and </w:t>
            </w:r>
            <w:r w:rsidR="00AA3681">
              <w:rPr>
                <w:sz w:val="18"/>
                <w:lang w:eastAsia="zh-CN"/>
              </w:rPr>
              <w:t>investigations</w:t>
            </w:r>
            <w:r w:rsidR="00AA3681">
              <w:rPr>
                <w:rFonts w:hint="eastAsia"/>
                <w:sz w:val="18"/>
                <w:lang w:eastAsia="zh-CN"/>
              </w:rPr>
              <w:t xml:space="preserve">. </w:t>
            </w:r>
          </w:p>
          <w:p w14:paraId="152AE991" w14:textId="77777777" w:rsidR="00B5741D" w:rsidRDefault="00B5741D" w:rsidP="00B5741D">
            <w:pPr>
              <w:rPr>
                <w:b/>
                <w:color w:val="B71C1C"/>
                <w:sz w:val="20"/>
                <w:lang w:eastAsia="zh-CN"/>
              </w:rPr>
            </w:pPr>
            <w:r>
              <w:rPr>
                <w:rFonts w:hint="eastAsia"/>
                <w:b/>
                <w:color w:val="B71C1C"/>
                <w:sz w:val="20"/>
                <w:lang w:eastAsia="zh-CN"/>
              </w:rPr>
              <w:t>4</w:t>
            </w:r>
            <w:r>
              <w:rPr>
                <w:b/>
                <w:color w:val="B71C1C"/>
                <w:sz w:val="20"/>
              </w:rPr>
              <w:t xml:space="preserve">. </w:t>
            </w:r>
            <w:r w:rsidRPr="00B5741D">
              <w:rPr>
                <w:b/>
                <w:color w:val="B71C1C"/>
                <w:sz w:val="20"/>
              </w:rPr>
              <w:t>Regulatory &amp; Ethical AI Risk</w:t>
            </w:r>
            <w:r>
              <w:rPr>
                <w:rFonts w:hint="eastAsia"/>
                <w:b/>
                <w:color w:val="B71C1C"/>
                <w:sz w:val="20"/>
                <w:lang w:eastAsia="zh-CN"/>
              </w:rPr>
              <w:t>：</w:t>
            </w:r>
            <w:r w:rsidRPr="00B5741D">
              <w:rPr>
                <w:b/>
                <w:color w:val="B71C1C"/>
                <w:sz w:val="20"/>
                <w:lang w:eastAsia="zh-CN"/>
              </w:rPr>
              <w:t>Regulatory and Ethical AI Exposure</w:t>
            </w:r>
          </w:p>
          <w:p w14:paraId="5BFEE762" w14:textId="2CA117DA" w:rsidR="00B5741D" w:rsidRDefault="00B5741D" w:rsidP="00B5741D">
            <w:pPr>
              <w:ind w:left="200"/>
              <w:rPr>
                <w:sz w:val="18"/>
                <w:lang w:eastAsia="zh-CN"/>
              </w:rPr>
            </w:pPr>
            <w:r>
              <w:rPr>
                <w:b/>
                <w:sz w:val="18"/>
              </w:rPr>
              <w:t>KRI (</w:t>
            </w:r>
            <w:r>
              <w:rPr>
                <w:rFonts w:hint="eastAsia"/>
                <w:b/>
                <w:sz w:val="18"/>
                <w:lang w:eastAsia="zh-CN"/>
              </w:rPr>
              <w:t xml:space="preserve">Processes): </w:t>
            </w:r>
            <w:r>
              <w:rPr>
                <w:rFonts w:hint="eastAsia"/>
                <w:sz w:val="18"/>
                <w:lang w:eastAsia="zh-CN"/>
              </w:rPr>
              <w:t xml:space="preserve">AI compliance violations, Bias detection incidents, regulatory </w:t>
            </w:r>
            <w:r>
              <w:rPr>
                <w:sz w:val="18"/>
                <w:lang w:eastAsia="zh-CN"/>
              </w:rPr>
              <w:t>investigation</w:t>
            </w:r>
            <w:r>
              <w:rPr>
                <w:rFonts w:hint="eastAsia"/>
                <w:sz w:val="18"/>
                <w:lang w:eastAsia="zh-CN"/>
              </w:rPr>
              <w:t xml:space="preserve"> count</w:t>
            </w:r>
          </w:p>
          <w:p w14:paraId="5CFF9123" w14:textId="6A290D59" w:rsidR="00B5741D" w:rsidRDefault="00B5741D" w:rsidP="00B5741D">
            <w:pPr>
              <w:ind w:left="200"/>
              <w:rPr>
                <w:sz w:val="18"/>
                <w:lang w:eastAsia="zh-CN"/>
              </w:rPr>
            </w:pPr>
            <w:r>
              <w:rPr>
                <w:b/>
                <w:sz w:val="18"/>
              </w:rPr>
              <w:t xml:space="preserve">Contributing Factors: </w:t>
            </w:r>
            <w:r>
              <w:rPr>
                <w:rFonts w:hint="eastAsia"/>
                <w:sz w:val="18"/>
                <w:lang w:eastAsia="zh-CN"/>
              </w:rPr>
              <w:t>Rapidly evolving AI regulations, lack of AI explainability.</w:t>
            </w:r>
          </w:p>
          <w:p w14:paraId="56A401DD" w14:textId="6CE86F59" w:rsidR="00E46225" w:rsidRDefault="00B5741D" w:rsidP="00E46225">
            <w:pPr>
              <w:ind w:left="200"/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</w:rPr>
              <w:t xml:space="preserve">Controls: </w:t>
            </w:r>
            <w:r>
              <w:rPr>
                <w:rFonts w:hint="eastAsia"/>
                <w:bCs/>
                <w:sz w:val="18"/>
                <w:lang w:eastAsia="zh-CN"/>
              </w:rPr>
              <w:t xml:space="preserve">AI ethics </w:t>
            </w:r>
            <w:r>
              <w:rPr>
                <w:bCs/>
                <w:sz w:val="18"/>
                <w:lang w:eastAsia="zh-CN"/>
              </w:rPr>
              <w:t>governance</w:t>
            </w:r>
            <w:r>
              <w:rPr>
                <w:rFonts w:hint="eastAsia"/>
                <w:bCs/>
                <w:sz w:val="18"/>
                <w:lang w:eastAsia="zh-CN"/>
              </w:rPr>
              <w:t xml:space="preserve"> board, responsible AI framework and bias testing.</w:t>
            </w:r>
          </w:p>
          <w:p w14:paraId="43EAF159" w14:textId="6BBA9F9C" w:rsidR="00B5741D" w:rsidRPr="00B5741D" w:rsidRDefault="00F82248" w:rsidP="00AA3681">
            <w:pPr>
              <w:ind w:left="200"/>
              <w:rPr>
                <w:sz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 xml:space="preserve">Associated Enterprise Risks: </w:t>
            </w:r>
            <w:r w:rsidR="00AA3681">
              <w:rPr>
                <w:rFonts w:hint="eastAsia"/>
                <w:sz w:val="18"/>
                <w:lang w:eastAsia="zh-CN"/>
              </w:rPr>
              <w:t xml:space="preserve">regulatory non-compliance risk, reputational damage risk, privacy violation risk. </w:t>
            </w:r>
          </w:p>
        </w:tc>
      </w:tr>
    </w:tbl>
    <w:p w14:paraId="6DB36BCD" w14:textId="77777777" w:rsidR="00F77D48" w:rsidRDefault="00F77D48">
      <w:pPr>
        <w:rPr>
          <w:sz w:val="16"/>
        </w:rPr>
      </w:pPr>
    </w:p>
    <w:p w14:paraId="173B7CA1" w14:textId="77777777" w:rsidR="00F77D48" w:rsidRDefault="00000000">
      <w:pPr>
        <w:jc w:val="center"/>
        <w:rPr>
          <w:i/>
          <w:color w:val="888888"/>
          <w:sz w:val="18"/>
        </w:rPr>
      </w:pPr>
      <w:r>
        <w:rPr>
          <w:i/>
          <w:color w:val="888888"/>
          <w:sz w:val="18"/>
        </w:rPr>
        <w:t>ALY-6130 | Group 9 | Enterprise Risk Management | Walmart AI Transformation | May 2026</w:t>
      </w:r>
    </w:p>
    <w:p w14:paraId="0CF5D723" w14:textId="77777777" w:rsidR="00B85E80" w:rsidRPr="00B85E80" w:rsidRDefault="00B85E80" w:rsidP="00B85E80">
      <w:pPr>
        <w:rPr>
          <w:b/>
          <w:color w:val="0071CE"/>
          <w:sz w:val="28"/>
        </w:rPr>
      </w:pPr>
      <w:r w:rsidRPr="00B85E80">
        <w:rPr>
          <w:b/>
          <w:color w:val="0071CE"/>
          <w:sz w:val="28"/>
        </w:rPr>
        <w:t>Enterprise Risk Interdependency Consideration</w:t>
      </w:r>
    </w:p>
    <w:p w14:paraId="4E4B1FFF" w14:textId="77777777" w:rsidR="00B85E80" w:rsidRPr="00DB10D9" w:rsidRDefault="00B85E80" w:rsidP="00B85E80">
      <w:pPr>
        <w:rPr>
          <w:sz w:val="24"/>
          <w:szCs w:val="28"/>
        </w:rPr>
      </w:pPr>
      <w:r w:rsidRPr="00DB10D9">
        <w:rPr>
          <w:sz w:val="24"/>
          <w:szCs w:val="28"/>
        </w:rPr>
        <w:t>The identified risks across logistics, AI deployment, cybersecurity, workforce transformation, and vendor dependency are highly interconnected.</w:t>
      </w:r>
    </w:p>
    <w:p w14:paraId="33176203" w14:textId="77777777" w:rsidR="00B85E80" w:rsidRPr="00DB10D9" w:rsidRDefault="00B85E80" w:rsidP="00B85E80">
      <w:pPr>
        <w:rPr>
          <w:sz w:val="24"/>
          <w:szCs w:val="28"/>
        </w:rPr>
      </w:pPr>
      <w:r w:rsidRPr="00DB10D9">
        <w:rPr>
          <w:sz w:val="24"/>
          <w:szCs w:val="28"/>
        </w:rPr>
        <w:t>For example, AI model failure may simultaneously trigger supply chain disruption, customer dissatisfaction, regulatory exposure, operational downtime, and reputational damage.</w:t>
      </w:r>
    </w:p>
    <w:p w14:paraId="2317E7E8" w14:textId="77777777" w:rsidR="00B85E80" w:rsidRPr="00DB10D9" w:rsidRDefault="00B85E80" w:rsidP="00B85E80">
      <w:pPr>
        <w:rPr>
          <w:sz w:val="24"/>
          <w:szCs w:val="28"/>
        </w:rPr>
      </w:pPr>
      <w:r w:rsidRPr="00DB10D9">
        <w:rPr>
          <w:sz w:val="24"/>
          <w:szCs w:val="28"/>
        </w:rPr>
        <w:t>Therefore, Walmart’s AI transformation introduces systemic enterprise risks that require continuous cross-functional monitoring, integrated governance oversight, and ongoing residual risk assessment.</w:t>
      </w:r>
    </w:p>
    <w:p w14:paraId="4D241782" w14:textId="77777777" w:rsidR="00B85E80" w:rsidRDefault="00B85E80">
      <w:pPr>
        <w:rPr>
          <w:sz w:val="14"/>
        </w:rPr>
      </w:pPr>
    </w:p>
    <w:p w14:paraId="3CE37F13" w14:textId="77777777" w:rsidR="00E724A1" w:rsidRDefault="00E724A1">
      <w:pPr>
        <w:rPr>
          <w:sz w:val="14"/>
        </w:rPr>
      </w:pPr>
    </w:p>
    <w:p w14:paraId="4909876D" w14:textId="77777777" w:rsidR="00E724A1" w:rsidRDefault="00E724A1">
      <w:pPr>
        <w:rPr>
          <w:sz w:val="14"/>
        </w:rPr>
      </w:pPr>
    </w:p>
    <w:p w14:paraId="1C66C9EC" w14:textId="77777777" w:rsidR="00F77D48" w:rsidRDefault="00000000">
      <w:pPr>
        <w:rPr>
          <w:b/>
          <w:color w:val="0071CE"/>
          <w:sz w:val="28"/>
        </w:rPr>
      </w:pPr>
      <w:r>
        <w:rPr>
          <w:b/>
          <w:color w:val="0071CE"/>
          <w:sz w:val="28"/>
        </w:rPr>
        <w:t>References</w:t>
      </w:r>
    </w:p>
    <w:p w14:paraId="2E5D1490" w14:textId="1719A4DA" w:rsidR="00F77D48" w:rsidRPr="001738FC" w:rsidRDefault="00000000">
      <w:pPr>
        <w:ind w:left="720" w:hanging="720"/>
        <w:rPr>
          <w:sz w:val="24"/>
          <w:szCs w:val="28"/>
        </w:rPr>
      </w:pPr>
      <w:r w:rsidRPr="001738FC">
        <w:rPr>
          <w:sz w:val="24"/>
          <w:szCs w:val="28"/>
        </w:rPr>
        <w:t xml:space="preserve">European Parliament. (2024). </w:t>
      </w:r>
      <w:r w:rsidRPr="001738FC">
        <w:rPr>
          <w:i/>
          <w:sz w:val="24"/>
          <w:szCs w:val="28"/>
        </w:rPr>
        <w:t>Regulation (EU) 2024/1689 of the European Parliament and of the Council of 13 June 2024 laying down harmonised rules on artificial intelligence (Artificial Intelligence Act).</w:t>
      </w:r>
      <w:r w:rsidRPr="001738FC">
        <w:rPr>
          <w:sz w:val="24"/>
          <w:szCs w:val="28"/>
        </w:rPr>
        <w:t xml:space="preserve"> Official Journal of the European Union. </w:t>
      </w:r>
      <w:hyperlink r:id="rId9" w:history="1">
        <w:r w:rsidRPr="0025695D">
          <w:rPr>
            <w:rStyle w:val="Hyperlink"/>
            <w:sz w:val="24"/>
            <w:szCs w:val="28"/>
          </w:rPr>
          <w:t>https://eur-lex.europa.eu/legal-content/EN/TXT/?uri=CELEX:32024R1689</w:t>
        </w:r>
      </w:hyperlink>
    </w:p>
    <w:p w14:paraId="43EAAA22" w14:textId="06E99DA6" w:rsidR="00F77D48" w:rsidRPr="001738FC" w:rsidRDefault="00000000">
      <w:pPr>
        <w:ind w:left="720" w:hanging="720"/>
        <w:rPr>
          <w:sz w:val="24"/>
          <w:szCs w:val="28"/>
        </w:rPr>
      </w:pPr>
      <w:r w:rsidRPr="001738FC">
        <w:rPr>
          <w:sz w:val="24"/>
          <w:szCs w:val="28"/>
        </w:rPr>
        <w:t xml:space="preserve">Federal Trade Commission. (2023). </w:t>
      </w:r>
      <w:r w:rsidRPr="001738FC">
        <w:rPr>
          <w:i/>
          <w:sz w:val="24"/>
          <w:szCs w:val="28"/>
        </w:rPr>
        <w:t>Protecting consumers in the era of generative AI.</w:t>
      </w:r>
      <w:r w:rsidRPr="001738FC">
        <w:rPr>
          <w:sz w:val="24"/>
          <w:szCs w:val="28"/>
        </w:rPr>
        <w:t xml:space="preserve"> U.S. Federal Trade Commission. </w:t>
      </w:r>
      <w:hyperlink r:id="rId10" w:history="1">
        <w:r w:rsidRPr="0025695D">
          <w:rPr>
            <w:rStyle w:val="Hyperlink"/>
            <w:sz w:val="24"/>
            <w:szCs w:val="28"/>
          </w:rPr>
          <w:t>https://www.ftc.gov/policy/advocacy-research/tech-at-ftc/2023/06/generative-ai-raises-competition-concerns</w:t>
        </w:r>
      </w:hyperlink>
    </w:p>
    <w:p w14:paraId="4E30A8AA" w14:textId="2179BC13" w:rsidR="00F77D48" w:rsidRPr="001738FC" w:rsidRDefault="00000000">
      <w:pPr>
        <w:ind w:left="720" w:hanging="720"/>
        <w:rPr>
          <w:sz w:val="24"/>
          <w:szCs w:val="28"/>
        </w:rPr>
      </w:pPr>
      <w:proofErr w:type="spellStart"/>
      <w:r w:rsidRPr="001738FC">
        <w:rPr>
          <w:sz w:val="24"/>
          <w:szCs w:val="28"/>
        </w:rPr>
        <w:t>Marnada</w:t>
      </w:r>
      <w:proofErr w:type="spellEnd"/>
      <w:r w:rsidRPr="001738FC">
        <w:rPr>
          <w:sz w:val="24"/>
          <w:szCs w:val="28"/>
        </w:rPr>
        <w:t xml:space="preserve">, P., Raharjo, T., Hardian, B., &amp; Prasetyo, A. (2022). Agile project management challenge in handling scope and change: A systematic literature review. </w:t>
      </w:r>
      <w:r w:rsidRPr="001738FC">
        <w:rPr>
          <w:i/>
          <w:sz w:val="24"/>
          <w:szCs w:val="28"/>
        </w:rPr>
        <w:t>Procedia Computer Science, 197</w:t>
      </w:r>
      <w:r w:rsidRPr="001738FC">
        <w:rPr>
          <w:sz w:val="24"/>
          <w:szCs w:val="28"/>
        </w:rPr>
        <w:t xml:space="preserve">, 290–300. </w:t>
      </w:r>
      <w:hyperlink r:id="rId11" w:history="1">
        <w:r w:rsidRPr="002A5EF5">
          <w:rPr>
            <w:rStyle w:val="Hyperlink"/>
            <w:sz w:val="24"/>
            <w:szCs w:val="28"/>
          </w:rPr>
          <w:t>https://doi.org/10.1016/j.procs.2021.12.143</w:t>
        </w:r>
      </w:hyperlink>
    </w:p>
    <w:p w14:paraId="3BC36D0E" w14:textId="6461FD99" w:rsidR="00F77D48" w:rsidRPr="001738FC" w:rsidRDefault="00000000">
      <w:pPr>
        <w:ind w:left="720" w:hanging="720"/>
        <w:rPr>
          <w:sz w:val="24"/>
          <w:szCs w:val="28"/>
        </w:rPr>
      </w:pPr>
      <w:r w:rsidRPr="001738FC">
        <w:rPr>
          <w:sz w:val="24"/>
          <w:szCs w:val="28"/>
        </w:rPr>
        <w:t xml:space="preserve">Sóńta-Drączkowska, E., &amp; Krogulec, A. (2024). Challenges of scaling agile in large enterprises and implications for project management. </w:t>
      </w:r>
      <w:r w:rsidRPr="001738FC">
        <w:rPr>
          <w:i/>
          <w:sz w:val="24"/>
          <w:szCs w:val="28"/>
        </w:rPr>
        <w:t>International Journal of Managing Projects in Business, 17</w:t>
      </w:r>
      <w:r w:rsidRPr="001738FC">
        <w:rPr>
          <w:sz w:val="24"/>
          <w:szCs w:val="28"/>
        </w:rPr>
        <w:t xml:space="preserve">(2), 360–384. </w:t>
      </w:r>
      <w:hyperlink r:id="rId12" w:history="1">
        <w:r w:rsidRPr="002A5EF5">
          <w:rPr>
            <w:rStyle w:val="Hyperlink"/>
            <w:sz w:val="24"/>
            <w:szCs w:val="28"/>
          </w:rPr>
          <w:t>https://doi.org/10.1108/IJMPB-11-2023-0244</w:t>
        </w:r>
      </w:hyperlink>
    </w:p>
    <w:p w14:paraId="533B901F" w14:textId="61530CBA" w:rsidR="00F77D48" w:rsidRPr="001738FC" w:rsidRDefault="00000000">
      <w:pPr>
        <w:ind w:left="720" w:hanging="720"/>
        <w:rPr>
          <w:sz w:val="24"/>
          <w:szCs w:val="28"/>
        </w:rPr>
      </w:pPr>
      <w:r w:rsidRPr="001738FC">
        <w:rPr>
          <w:sz w:val="24"/>
          <w:szCs w:val="28"/>
        </w:rPr>
        <w:t xml:space="preserve">Walmart Inc. (2023). </w:t>
      </w:r>
      <w:r w:rsidRPr="001738FC">
        <w:rPr>
          <w:i/>
          <w:sz w:val="24"/>
          <w:szCs w:val="28"/>
        </w:rPr>
        <w:t>Annual report on Form 10-K for the fiscal year ended January 31, 2023.</w:t>
      </w:r>
      <w:r w:rsidRPr="001738FC">
        <w:rPr>
          <w:sz w:val="24"/>
          <w:szCs w:val="28"/>
        </w:rPr>
        <w:t xml:space="preserve"> U.S. Securities and Exchange Commission. </w:t>
      </w:r>
      <w:hyperlink r:id="rId13" w:history="1">
        <w:r w:rsidRPr="002A5EF5">
          <w:rPr>
            <w:rStyle w:val="Hyperlink"/>
            <w:sz w:val="24"/>
            <w:szCs w:val="28"/>
          </w:rPr>
          <w:t>https://stock.walmart.com/sec-filings/all-sec-filings/content/0000104169-23-000020/0000104169-23-000020.pdf</w:t>
        </w:r>
      </w:hyperlink>
    </w:p>
    <w:p w14:paraId="2F14CD87" w14:textId="7409F833" w:rsidR="00F77D48" w:rsidRPr="001738FC" w:rsidRDefault="00000000">
      <w:pPr>
        <w:ind w:left="720" w:hanging="720"/>
        <w:rPr>
          <w:sz w:val="24"/>
          <w:szCs w:val="28"/>
        </w:rPr>
      </w:pPr>
      <w:r w:rsidRPr="001738FC">
        <w:rPr>
          <w:sz w:val="24"/>
          <w:szCs w:val="28"/>
        </w:rPr>
        <w:t xml:space="preserve">Wamba, S. F., Gunasekaran, A., Akter, S., Ren, S. J., Dubey, R., &amp; Childe, S. J. (2017). Big data analytics and firm performance: Effects of dynamic capabilities. </w:t>
      </w:r>
      <w:r w:rsidRPr="001738FC">
        <w:rPr>
          <w:i/>
          <w:sz w:val="24"/>
          <w:szCs w:val="28"/>
        </w:rPr>
        <w:t>Journal of Business Research, 70</w:t>
      </w:r>
      <w:r w:rsidRPr="001738FC">
        <w:rPr>
          <w:sz w:val="24"/>
          <w:szCs w:val="28"/>
        </w:rPr>
        <w:t xml:space="preserve">, 356–365. </w:t>
      </w:r>
      <w:hyperlink r:id="rId14" w:history="1">
        <w:r w:rsidRPr="007F4CEF">
          <w:rPr>
            <w:rStyle w:val="Hyperlink"/>
            <w:sz w:val="24"/>
            <w:szCs w:val="28"/>
          </w:rPr>
          <w:t>https://doi.org/10.1016/j.jbusres.2016.08.009</w:t>
        </w:r>
      </w:hyperlink>
    </w:p>
    <w:sectPr w:rsidR="00F77D48" w:rsidRPr="001738FC" w:rsidSect="001738FC">
      <w:footerReference w:type="default" r:id="rId15"/>
      <w:pgSz w:w="15840" w:h="12240" w:orient="landscape" w:code="1"/>
      <w:pgMar w:top="540" w:right="720" w:bottom="720" w:left="720" w:header="5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0ACD" w14:textId="77777777" w:rsidR="00527ED9" w:rsidRDefault="00527ED9" w:rsidP="001738FC">
      <w:pPr>
        <w:spacing w:after="0" w:line="240" w:lineRule="auto"/>
      </w:pPr>
      <w:r>
        <w:separator/>
      </w:r>
    </w:p>
  </w:endnote>
  <w:endnote w:type="continuationSeparator" w:id="0">
    <w:p w14:paraId="60D26506" w14:textId="77777777" w:rsidR="00527ED9" w:rsidRDefault="00527ED9" w:rsidP="00173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F3EE" w14:textId="77777777" w:rsidR="001738FC" w:rsidRDefault="00173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82B3" w14:textId="77777777" w:rsidR="00527ED9" w:rsidRDefault="00527ED9" w:rsidP="001738FC">
      <w:pPr>
        <w:spacing w:after="0" w:line="240" w:lineRule="auto"/>
      </w:pPr>
      <w:r>
        <w:separator/>
      </w:r>
    </w:p>
  </w:footnote>
  <w:footnote w:type="continuationSeparator" w:id="0">
    <w:p w14:paraId="46A53A90" w14:textId="77777777" w:rsidR="00527ED9" w:rsidRDefault="00527ED9" w:rsidP="001738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1"/>
  <w:drawingGridVerticalSpacing w:val="191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225"/>
    <w:rsid w:val="001738FC"/>
    <w:rsid w:val="00245FAC"/>
    <w:rsid w:val="0025695D"/>
    <w:rsid w:val="002A2336"/>
    <w:rsid w:val="002A5EF5"/>
    <w:rsid w:val="00317CBD"/>
    <w:rsid w:val="004E0225"/>
    <w:rsid w:val="00527ED9"/>
    <w:rsid w:val="005635FE"/>
    <w:rsid w:val="007F4CEF"/>
    <w:rsid w:val="00933C5B"/>
    <w:rsid w:val="00AA3681"/>
    <w:rsid w:val="00B5741D"/>
    <w:rsid w:val="00B85E80"/>
    <w:rsid w:val="00DB10D9"/>
    <w:rsid w:val="00E46225"/>
    <w:rsid w:val="00E724A1"/>
    <w:rsid w:val="00F75360"/>
    <w:rsid w:val="00F77D48"/>
    <w:rsid w:val="00F82248"/>
    <w:rsid w:val="00F9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32E2D"/>
  <w15:chartTrackingRefBased/>
  <w15:docId w15:val="{3B747234-C1F6-4A1A-83FC-EFAE56FB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3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8FC"/>
  </w:style>
  <w:style w:type="paragraph" w:styleId="Footer">
    <w:name w:val="footer"/>
    <w:basedOn w:val="Normal"/>
    <w:link w:val="FooterChar"/>
    <w:uiPriority w:val="99"/>
    <w:unhideWhenUsed/>
    <w:rsid w:val="00173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8FC"/>
  </w:style>
  <w:style w:type="character" w:styleId="Hyperlink">
    <w:name w:val="Hyperlink"/>
    <w:basedOn w:val="DefaultParagraphFont"/>
    <w:uiPriority w:val="99"/>
    <w:unhideWhenUsed/>
    <w:rsid w:val="002569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tock.walmart.com/sec-filings/all-sec-filings/content/0000104169-23-000020/0000104169-23-000020.pdf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doi.org/10.1108/IJMPB-11-2023-0244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1016/j.procs.2021.12.143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ftc.gov/policy/advocacy-research/tech-at-ftc/2023/06/generative-ai-raises-competition-concerns" TargetMode="External"/><Relationship Id="rId4" Type="http://schemas.openxmlformats.org/officeDocument/2006/relationships/styles" Target="styles.xml"/><Relationship Id="rId9" Type="http://schemas.openxmlformats.org/officeDocument/2006/relationships/hyperlink" Target="https://eur-lex.europa.eu/legal-content/EN/TXT/?uri=CELEX:32024R1689" TargetMode="External"/><Relationship Id="rId14" Type="http://schemas.openxmlformats.org/officeDocument/2006/relationships/hyperlink" Target="https://doi.org/10.1016/j.jbusres.2016.08.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2ce5a41f-70b1-4141-9727-236556690c4c" xsi:nil="true"/>
    <Owner xmlns="2ce5a41f-70b1-4141-9727-236556690c4c">
      <UserInfo>
        <DisplayName/>
        <AccountId xsi:nil="true"/>
        <AccountType/>
      </UserInfo>
    </Owner>
    <Students xmlns="2ce5a41f-70b1-4141-9727-236556690c4c">
      <UserInfo>
        <DisplayName/>
        <AccountId xsi:nil="true"/>
        <AccountType/>
      </UserInfo>
    </Students>
    <Distribution_Groups xmlns="2ce5a41f-70b1-4141-9727-236556690c4c" xsi:nil="true"/>
    <Leaders xmlns="2ce5a41f-70b1-4141-9727-236556690c4c">
      <UserInfo>
        <DisplayName/>
        <AccountId xsi:nil="true"/>
        <AccountType/>
      </UserInfo>
    </Leaders>
    <_ip_UnifiedCompliancePolicyUIAction xmlns="http://schemas.microsoft.com/sharepoint/v3" xsi:nil="true"/>
    <TeamsChannelId xmlns="2ce5a41f-70b1-4141-9727-236556690c4c" xsi:nil="true"/>
    <NotebookType xmlns="2ce5a41f-70b1-4141-9727-236556690c4c" xsi:nil="true"/>
    <Has_Teacher_Only_SectionGroup xmlns="2ce5a41f-70b1-4141-9727-236556690c4c" xsi:nil="true"/>
    <Members xmlns="2ce5a41f-70b1-4141-9727-236556690c4c">
      <UserInfo>
        <DisplayName/>
        <AccountId xsi:nil="true"/>
        <AccountType/>
      </UserInfo>
    </Members>
    <IsNotebookLocked xmlns="2ce5a41f-70b1-4141-9727-236556690c4c" xsi:nil="true"/>
    <Member_Groups xmlns="2ce5a41f-70b1-4141-9727-236556690c4c">
      <UserInfo>
        <DisplayName/>
        <AccountId xsi:nil="true"/>
        <AccountType/>
      </UserInfo>
    </Member_Groups>
    <Has_Leaders_Only_SectionGroup xmlns="2ce5a41f-70b1-4141-9727-236556690c4c" xsi:nil="true"/>
    <_ip_UnifiedCompliancePolicyProperties xmlns="http://schemas.microsoft.com/sharepoint/v3" xsi:nil="true"/>
    <Invited_Teachers xmlns="2ce5a41f-70b1-4141-9727-236556690c4c" xsi:nil="true"/>
    <Math_Settings xmlns="2ce5a41f-70b1-4141-9727-236556690c4c" xsi:nil="true"/>
    <Self_Registration_Enabled xmlns="2ce5a41f-70b1-4141-9727-236556690c4c" xsi:nil="true"/>
    <DefaultSectionNames xmlns="2ce5a41f-70b1-4141-9727-236556690c4c" xsi:nil="true"/>
    <Is_Collaboration_Space_Locked xmlns="2ce5a41f-70b1-4141-9727-236556690c4c" xsi:nil="true"/>
    <AppVersion xmlns="2ce5a41f-70b1-4141-9727-236556690c4c" xsi:nil="true"/>
    <LMS_Mappings xmlns="2ce5a41f-70b1-4141-9727-236556690c4c" xsi:nil="true"/>
    <Invited_Students xmlns="2ce5a41f-70b1-4141-9727-236556690c4c" xsi:nil="true"/>
    <FolderType xmlns="2ce5a41f-70b1-4141-9727-236556690c4c" xsi:nil="true"/>
    <Teachers xmlns="2ce5a41f-70b1-4141-9727-236556690c4c">
      <UserInfo>
        <DisplayName/>
        <AccountId xsi:nil="true"/>
        <AccountType/>
      </UserInfo>
    </Teachers>
    <Student_Groups xmlns="2ce5a41f-70b1-4141-9727-236556690c4c">
      <UserInfo>
        <DisplayName/>
        <AccountId xsi:nil="true"/>
        <AccountType/>
      </UserInfo>
    </Student_Groups>
    <Templates xmlns="2ce5a41f-70b1-4141-9727-236556690c4c" xsi:nil="true"/>
    <Invited_Members xmlns="2ce5a41f-70b1-4141-9727-236556690c4c" xsi:nil="true"/>
    <Teams_Channel_Section_Location xmlns="2ce5a41f-70b1-4141-9727-236556690c4c" xsi:nil="true"/>
    <Invited_Leaders xmlns="2ce5a41f-70b1-4141-9727-236556690c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580B8D9D5C8479EB29463B3488F37" ma:contentTypeVersion="42" ma:contentTypeDescription="Create a new document." ma:contentTypeScope="" ma:versionID="69069ed5fe7b373630cc1ed640b4412c">
  <xsd:schema xmlns:xsd="http://www.w3.org/2001/XMLSchema" xmlns:xs="http://www.w3.org/2001/XMLSchema" xmlns:p="http://schemas.microsoft.com/office/2006/metadata/properties" xmlns:ns1="http://schemas.microsoft.com/sharepoint/v3" xmlns:ns3="2ce5a41f-70b1-4141-9727-236556690c4c" xmlns:ns4="a323f3c1-1107-402b-9567-903e45c352ff" targetNamespace="http://schemas.microsoft.com/office/2006/metadata/properties" ma:root="true" ma:fieldsID="214e89828cac9c05164b01a359f64201" ns1:_="" ns3:_="" ns4:_="">
    <xsd:import namespace="http://schemas.microsoft.com/sharepoint/v3"/>
    <xsd:import namespace="2ce5a41f-70b1-4141-9727-236556690c4c"/>
    <xsd:import namespace="a323f3c1-1107-402b-9567-903e45c352ff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Has_Leaders_Only_SectionGroup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5a41f-70b1-4141-9727-236556690c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3" nillable="true" ma:displayName="Notebook Type" ma:internalName="NotebookType">
      <xsd:simpleType>
        <xsd:restriction base="dms:Text"/>
      </xsd:simpleType>
    </xsd:element>
    <xsd:element name="FolderType" ma:index="24" nillable="true" ma:displayName="Folder Type" ma:internalName="FolderType">
      <xsd:simpleType>
        <xsd:restriction base="dms:Text"/>
      </xsd:simpleType>
    </xsd:element>
    <xsd:element name="CultureName" ma:index="25" nillable="true" ma:displayName="Culture Name" ma:internalName="CultureName">
      <xsd:simpleType>
        <xsd:restriction base="dms:Text"/>
      </xsd:simpleType>
    </xsd:element>
    <xsd:element name="AppVersion" ma:index="26" nillable="true" ma:displayName="App Version" ma:internalName="AppVersion">
      <xsd:simpleType>
        <xsd:restriction base="dms:Text"/>
      </xsd:simpleType>
    </xsd:element>
    <xsd:element name="TeamsChannelId" ma:index="27" nillable="true" ma:displayName="Teams Channel Id" ma:internalName="TeamsChannelId">
      <xsd:simpleType>
        <xsd:restriction base="dms:Text"/>
      </xsd:simpleType>
    </xsd:element>
    <xsd:element name="Owner" ma:index="2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efaultSectionNames" ma:index="3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1" nillable="true" ma:displayName="Is Collaboration Space Locked" ma:internalName="Is_Collaboration_Space_Locked">
      <xsd:simpleType>
        <xsd:restriction base="dms:Boolean"/>
      </xsd:simpleType>
    </xsd:element>
    <xsd:element name="IsNotebookLocked" ma:index="42" nillable="true" ma:displayName="Is Notebook Locked" ma:internalName="IsNotebookLocked">
      <xsd:simpleType>
        <xsd:restriction base="dms:Boolean"/>
      </xsd:simpleType>
    </xsd:element>
    <xsd:element name="Leaders" ma:index="43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44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45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8" nillable="true" ma:displayName="Has Leaders Only SectionGroup" ma:internalName="Has_Leaders_Only_SectionGroup">
      <xsd:simpleType>
        <xsd:restriction base="dms:Boolean"/>
      </xsd:simpleType>
    </xsd:element>
    <xsd:element name="Teams_Channel_Section_Location" ma:index="49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3f3c1-1107-402b-9567-903e45c352f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F2AFE7-99DE-4268-BB6F-783C721105D3}">
  <ds:schemaRefs>
    <ds:schemaRef ds:uri="http://schemas.microsoft.com/office/2006/metadata/properties"/>
    <ds:schemaRef ds:uri="http://schemas.microsoft.com/office/infopath/2007/PartnerControls"/>
    <ds:schemaRef ds:uri="2ce5a41f-70b1-4141-9727-236556690c4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E6203DA-FC0E-4558-912B-F4CB2C51F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e5a41f-70b1-4141-9727-236556690c4c"/>
    <ds:schemaRef ds:uri="a323f3c1-1107-402b-9567-903e45c35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E91D2B-7F74-4998-98E4-348625E91A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2016</Words>
  <Characters>11495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Littlefield, Denise</dc:creator>
  <cp:keywords/>
  <dc:description/>
  <cp:lastModifiedBy>isaac4ideho@gmail.com</cp:lastModifiedBy>
  <cp:revision>11</cp:revision>
  <dcterms:created xsi:type="dcterms:W3CDTF">2021-08-10T17:50:00Z</dcterms:created>
  <dcterms:modified xsi:type="dcterms:W3CDTF">2026-05-26T21:29:00Z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0x0101009CB580B8D9D5C8479EB29463B3488F37</vt:lpwstr>
  </property>
</Properties>
</file>