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6ADC" w14:textId="71548222" w:rsidR="00064CE6" w:rsidRDefault="00000000">
      <w:pPr>
        <w:spacing w:after="120"/>
        <w:jc w:val="center"/>
      </w:pPr>
      <w:r>
        <w:rPr>
          <w:rFonts w:eastAsia="Times New Roman"/>
          <w:b/>
          <w:bCs/>
          <w:color w:val="041E42"/>
          <w:sz w:val="28"/>
          <w:szCs w:val="28"/>
        </w:rPr>
        <w:t xml:space="preserve">WALMART </w:t>
      </w:r>
      <w:r w:rsidR="00A03620">
        <w:rPr>
          <w:rFonts w:hint="eastAsia"/>
          <w:b/>
          <w:bCs/>
          <w:color w:val="041E42"/>
          <w:sz w:val="28"/>
          <w:szCs w:val="28"/>
        </w:rPr>
        <w:t xml:space="preserve">FRONTLINE </w:t>
      </w:r>
      <w:r>
        <w:rPr>
          <w:rFonts w:eastAsia="Times New Roman"/>
          <w:b/>
          <w:bCs/>
          <w:color w:val="041E42"/>
          <w:sz w:val="28"/>
          <w:szCs w:val="28"/>
        </w:rPr>
        <w:t>AI TRANSFORMATION</w:t>
      </w:r>
    </w:p>
    <w:p w14:paraId="57FD3AA9" w14:textId="77777777" w:rsidR="00064CE6" w:rsidRDefault="00000000">
      <w:pPr>
        <w:spacing w:after="60"/>
        <w:jc w:val="center"/>
      </w:pPr>
      <w:r>
        <w:rPr>
          <w:rFonts w:eastAsia="Times New Roman"/>
          <w:b/>
          <w:bCs/>
          <w:color w:val="0071CE"/>
          <w:sz w:val="24"/>
          <w:szCs w:val="24"/>
        </w:rPr>
        <w:t>Quantitative Risk Assessment Using Indicators and Warning (I&amp;W) Analysis</w:t>
      </w:r>
    </w:p>
    <w:p w14:paraId="71EAB69B" w14:textId="2E39C464" w:rsidR="00064CE6" w:rsidRPr="001D6DBD" w:rsidRDefault="00000000" w:rsidP="001D6DBD">
      <w:pPr>
        <w:spacing w:after="160"/>
        <w:jc w:val="center"/>
        <w:rPr>
          <w:sz w:val="24"/>
          <w:szCs w:val="24"/>
        </w:rPr>
      </w:pPr>
      <w:r w:rsidRPr="001D6DBD">
        <w:rPr>
          <w:rFonts w:eastAsia="Times New Roman"/>
          <w:color w:val="000000"/>
          <w:sz w:val="20"/>
          <w:szCs w:val="20"/>
        </w:rPr>
        <w:t xml:space="preserve">ALY-6130 | Group 9 | Blessing Idowu Jonathan | Isaac </w:t>
      </w:r>
      <w:proofErr w:type="spellStart"/>
      <w:r w:rsidRPr="001D6DBD">
        <w:rPr>
          <w:rFonts w:eastAsia="Times New Roman"/>
          <w:color w:val="000000"/>
          <w:sz w:val="20"/>
          <w:szCs w:val="20"/>
        </w:rPr>
        <w:t>Oboikinome</w:t>
      </w:r>
      <w:proofErr w:type="spellEnd"/>
      <w:r w:rsidRPr="001D6DBD">
        <w:rPr>
          <w:rFonts w:eastAsia="Times New Roman"/>
          <w:color w:val="000000"/>
          <w:sz w:val="20"/>
          <w:szCs w:val="20"/>
        </w:rPr>
        <w:t xml:space="preserve"> </w:t>
      </w:r>
      <w:proofErr w:type="spellStart"/>
      <w:r w:rsidRPr="001D6DBD">
        <w:rPr>
          <w:rFonts w:eastAsia="Times New Roman"/>
          <w:color w:val="000000"/>
          <w:sz w:val="20"/>
          <w:szCs w:val="20"/>
        </w:rPr>
        <w:t>Ideho</w:t>
      </w:r>
      <w:proofErr w:type="spellEnd"/>
      <w:r w:rsidRPr="001D6DBD">
        <w:rPr>
          <w:rFonts w:eastAsia="Times New Roman"/>
          <w:color w:val="000000"/>
          <w:sz w:val="20"/>
          <w:szCs w:val="20"/>
        </w:rPr>
        <w:t xml:space="preserve"> | Hao Mao | Ezinne Lynda </w:t>
      </w:r>
      <w:proofErr w:type="spellStart"/>
      <w:r w:rsidRPr="001D6DBD">
        <w:rPr>
          <w:rFonts w:eastAsia="Times New Roman"/>
          <w:color w:val="000000"/>
          <w:sz w:val="20"/>
          <w:szCs w:val="20"/>
        </w:rPr>
        <w:t>Anyinofu</w:t>
      </w:r>
      <w:proofErr w:type="spellEnd"/>
      <w:r w:rsidRPr="001D6DBD">
        <w:rPr>
          <w:rFonts w:eastAsia="Times New Roman"/>
          <w:color w:val="000000"/>
          <w:sz w:val="20"/>
          <w:szCs w:val="20"/>
        </w:rPr>
        <w:t xml:space="preserve"> | June 2026</w:t>
      </w:r>
    </w:p>
    <w:p w14:paraId="41F68D9B" w14:textId="77777777" w:rsidR="00FD3FDB" w:rsidRDefault="00FD3FDB">
      <w:pPr>
        <w:pBdr>
          <w:bottom w:val="single" w:sz="4" w:space="1" w:color="0071CE"/>
        </w:pBdr>
        <w:spacing w:before="120" w:after="120"/>
      </w:pPr>
    </w:p>
    <w:p w14:paraId="546C427B" w14:textId="77777777" w:rsidR="00064CE6" w:rsidRDefault="00000000">
      <w:pPr>
        <w:spacing w:before="200" w:after="80"/>
      </w:pPr>
      <w:r>
        <w:rPr>
          <w:rFonts w:eastAsia="Times New Roman"/>
          <w:b/>
          <w:bCs/>
          <w:color w:val="041E42"/>
          <w:sz w:val="24"/>
          <w:szCs w:val="24"/>
          <w:u w:val="single"/>
        </w:rPr>
        <w:t>1. Introduction</w:t>
      </w:r>
    </w:p>
    <w:p w14:paraId="583F515B" w14:textId="77777777" w:rsidR="00064CE6" w:rsidRDefault="00000000">
      <w:pPr>
        <w:spacing w:after="120"/>
        <w:jc w:val="both"/>
      </w:pPr>
      <w:r>
        <w:rPr>
          <w:rFonts w:eastAsia="Times New Roman"/>
          <w:color w:val="000000"/>
        </w:rPr>
        <w:t>This report presents the quantitative risk assessment of three competitive risks identified for Walmart Inc.'s AI transformation initiative, using the Indicators and Warning (I&amp;W) analysis technique. The I&amp;W methodology is a structured intelligence-based approach that identifies observable indicators — measurable signals that suggest a risk event is developing — and warning thresholds that trigger management intervention. Applied within the COSO ERM framework, the I&amp;W technique enables organizations to transition from qualitative risk identification to quantitative probability and impact estimation, supporting more precise risk-informed decision-making.</w:t>
      </w:r>
    </w:p>
    <w:p w14:paraId="4D2E346B" w14:textId="40378902" w:rsidR="00FD3FDB" w:rsidRPr="00E71D97" w:rsidRDefault="00000000">
      <w:pPr>
        <w:spacing w:after="120"/>
        <w:jc w:val="both"/>
        <w:rPr>
          <w:color w:val="000000"/>
        </w:rPr>
      </w:pPr>
      <w:r>
        <w:rPr>
          <w:rFonts w:eastAsia="Times New Roman"/>
          <w:color w:val="000000"/>
        </w:rPr>
        <w:t>The three risks assessed are: R-001 (Market Share Erosion from Competitive AI Disruption), R-002 (Customer Attrition and Loyalty Erosion), and R-003 (AI Supply Chain Optimization Opportunity). Qualitative assessment was conducted in Module 2 using the SWOT analysis and risk register. The quantitative assessment presented here applies probability estimation, Expected Loss modeling, Monte Carlo simulation, and Machine Learning-based risk classification to each risk.</w:t>
      </w:r>
    </w:p>
    <w:p w14:paraId="5E0C9C6F" w14:textId="77777777" w:rsidR="00064CE6" w:rsidRDefault="00064CE6">
      <w:pPr>
        <w:pBdr>
          <w:bottom w:val="single" w:sz="4" w:space="1" w:color="0071CE"/>
        </w:pBdr>
        <w:spacing w:before="120" w:after="120"/>
      </w:pPr>
    </w:p>
    <w:p w14:paraId="24DA405E" w14:textId="77777777" w:rsidR="00064CE6" w:rsidRDefault="00000000">
      <w:pPr>
        <w:spacing w:before="200" w:after="80"/>
      </w:pPr>
      <w:r>
        <w:rPr>
          <w:rFonts w:eastAsia="Times New Roman"/>
          <w:b/>
          <w:bCs/>
          <w:color w:val="041E42"/>
          <w:sz w:val="24"/>
          <w:szCs w:val="24"/>
          <w:u w:val="single"/>
        </w:rPr>
        <w:t>2. I&amp;W Analysis Methodology</w:t>
      </w:r>
    </w:p>
    <w:p w14:paraId="63E41B28" w14:textId="77777777" w:rsidR="00064CE6" w:rsidRDefault="00000000">
      <w:pPr>
        <w:spacing w:after="120"/>
        <w:jc w:val="both"/>
      </w:pPr>
      <w:r>
        <w:rPr>
          <w:rFonts w:eastAsia="Times New Roman"/>
          <w:color w:val="000000"/>
        </w:rPr>
        <w:t>The I&amp;W analysis technique follows four sequential steps:</w:t>
      </w:r>
    </w:p>
    <w:p w14:paraId="40F2B289" w14:textId="77777777" w:rsidR="00064CE6" w:rsidRDefault="00000000">
      <w:pPr>
        <w:spacing w:before="40" w:after="40"/>
        <w:ind w:left="360" w:hanging="360"/>
      </w:pPr>
      <w:r>
        <w:rPr>
          <w:rFonts w:eastAsia="Times New Roman"/>
        </w:rPr>
        <w:t>•  Step 1 — Identify Indicators: For each risk, observable leading indicators are selected that signal the risk is developing before it materializes into a loss event.</w:t>
      </w:r>
    </w:p>
    <w:p w14:paraId="39B805EA" w14:textId="77777777" w:rsidR="00064CE6" w:rsidRDefault="00000000">
      <w:pPr>
        <w:spacing w:before="40" w:after="40"/>
        <w:ind w:left="360" w:hanging="360"/>
      </w:pPr>
      <w:r>
        <w:rPr>
          <w:rFonts w:eastAsia="Times New Roman"/>
        </w:rPr>
        <w:t>•  Step 2 — Assign Probability Estimates: Using historical data, industry benchmarks, and competitive intelligence, a probability value between 0 and 1 is assigned to each indicator reaching its warning threshold within the assessment period (12 months).</w:t>
      </w:r>
    </w:p>
    <w:p w14:paraId="63C7BB2C" w14:textId="77777777" w:rsidR="00064CE6" w:rsidRDefault="00000000">
      <w:pPr>
        <w:spacing w:before="40" w:after="40"/>
        <w:ind w:left="360" w:hanging="360"/>
      </w:pPr>
      <w:r>
        <w:rPr>
          <w:rFonts w:eastAsia="Times New Roman"/>
        </w:rPr>
        <w:t>•  Step 3 — Estimate Financial Impact: The potential financial impact of each risk is quantified using Walmart's revenue base, market data, and industry loss benchmarks.</w:t>
      </w:r>
    </w:p>
    <w:p w14:paraId="006466AC" w14:textId="77777777" w:rsidR="00064CE6" w:rsidRDefault="00000000">
      <w:pPr>
        <w:spacing w:before="40" w:after="40"/>
        <w:ind w:left="360" w:hanging="360"/>
      </w:pPr>
      <w:r>
        <w:rPr>
          <w:rFonts w:eastAsia="Times New Roman"/>
        </w:rPr>
        <w:t>•  Step 4 — Calculate Expected Loss: Expected Loss (EL) is calculated as: EL = Probability (P) × Impact (I). This produces a single quantitative risk score expressed in USD, enabling prioritization and comparison across risks.</w:t>
      </w:r>
    </w:p>
    <w:p w14:paraId="6F9D6EC9" w14:textId="2D8FDEC1" w:rsidR="00FD3FDB" w:rsidRPr="00E71D97" w:rsidRDefault="00000000">
      <w:pPr>
        <w:spacing w:after="80"/>
        <w:jc w:val="both"/>
        <w:rPr>
          <w:color w:val="000000"/>
        </w:rPr>
      </w:pPr>
      <w:r>
        <w:rPr>
          <w:rFonts w:eastAsia="Times New Roman"/>
          <w:color w:val="000000"/>
        </w:rPr>
        <w:t>Monte Carlo simulation was applied to each risk to model the distribution of potential outcomes across 10,000 iterations, accounting for uncertainty in both probability and impact estimates. A Machine Learning classification model (Random Forest) was trained on retail industry risk event data to validate the probability assignments and flag risks approaching critical threshold levels.</w:t>
      </w:r>
    </w:p>
    <w:p w14:paraId="36019D04" w14:textId="77777777" w:rsidR="00064CE6" w:rsidRDefault="00064CE6">
      <w:pPr>
        <w:pBdr>
          <w:bottom w:val="single" w:sz="4" w:space="1" w:color="0071CE"/>
        </w:pBdr>
        <w:spacing w:before="120" w:after="120"/>
      </w:pPr>
    </w:p>
    <w:p w14:paraId="76F175EC" w14:textId="77777777" w:rsidR="00064CE6" w:rsidRDefault="00000000">
      <w:pPr>
        <w:spacing w:before="200" w:after="80"/>
      </w:pPr>
      <w:r>
        <w:rPr>
          <w:rFonts w:eastAsia="Times New Roman"/>
          <w:b/>
          <w:bCs/>
          <w:color w:val="041E42"/>
          <w:sz w:val="24"/>
          <w:szCs w:val="24"/>
          <w:u w:val="single"/>
        </w:rPr>
        <w:t>3. Quantitative Assessment — R-001: Market Share Erosion</w:t>
      </w:r>
    </w:p>
    <w:p w14:paraId="2845C5EA" w14:textId="77777777" w:rsidR="00064CE6" w:rsidRDefault="00000000">
      <w:pPr>
        <w:spacing w:before="140" w:after="60"/>
      </w:pPr>
      <w:r>
        <w:rPr>
          <w:rFonts w:eastAsia="Times New Roman"/>
          <w:b/>
          <w:bCs/>
          <w:color w:val="0071CE"/>
        </w:rPr>
        <w:t>Indicator: E-Commerce Market Share Percentage Decline Rate</w:t>
      </w:r>
    </w:p>
    <w:p w14:paraId="0DF78DA8" w14:textId="03616177" w:rsidR="00FD3FDB" w:rsidRDefault="00000000">
      <w:pPr>
        <w:spacing w:after="120"/>
        <w:jc w:val="both"/>
        <w:rPr>
          <w:color w:val="000000"/>
        </w:rPr>
      </w:pPr>
      <w:r>
        <w:rPr>
          <w:rFonts w:eastAsia="Times New Roman"/>
          <w:color w:val="000000"/>
        </w:rPr>
        <w:t>Amazon's e-commerce market share reached 40.4% in 2024 versus Walmart's 5.9%, a 6.8x competitive gap. The indicator measures the monthly rate of change in Walmart's U.S. e-commerce market share. The warning threshold is triggered when market share declines by more than 0.2 percentage points per quarter.</w:t>
      </w:r>
    </w:p>
    <w:p w14:paraId="7C426681" w14:textId="24577879" w:rsidR="00FD3FDB" w:rsidRDefault="008A4C69" w:rsidP="008A4C69">
      <w:pPr>
        <w:spacing w:after="120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47DF0A9E" wp14:editId="3B91A17B">
            <wp:extent cx="4406920" cy="2894665"/>
            <wp:effectExtent l="0" t="0" r="0" b="1270"/>
            <wp:docPr id="89589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95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7114" cy="292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F110" w14:textId="61128A39" w:rsidR="008A4C69" w:rsidRPr="008A4C69" w:rsidRDefault="008A4C69" w:rsidP="008A4C69">
      <w:pPr>
        <w:spacing w:after="120"/>
        <w:jc w:val="center"/>
        <w:rPr>
          <w:color w:val="000000"/>
        </w:rPr>
      </w:pPr>
      <w:r>
        <w:rPr>
          <w:rFonts w:hint="eastAsia"/>
          <w:color w:val="000000"/>
        </w:rPr>
        <w:t>Figure1: Amazon vs Walmart US E-commerce Market Share</w:t>
      </w:r>
    </w:p>
    <w:p w14:paraId="3F9DDA55" w14:textId="1079FC06" w:rsidR="00FD3FDB" w:rsidRPr="00FD3FDB" w:rsidRDefault="00000000" w:rsidP="00FD3FDB">
      <w:pPr>
        <w:spacing w:before="40" w:after="40"/>
        <w:ind w:left="360" w:hanging="360"/>
      </w:pPr>
      <w:r>
        <w:rPr>
          <w:rFonts w:eastAsia="Times New Roman"/>
        </w:rPr>
        <w:t xml:space="preserve">•  Probability Estimate (P): 0.35 — </w:t>
      </w:r>
      <w:r w:rsidR="008A4C69" w:rsidRPr="008A4C69">
        <w:rPr>
          <w:rFonts w:eastAsia="Times New Roman"/>
        </w:rPr>
        <w:t>was derived from the observed market share gap trend between Amazon and Walmart from 2020-2024. The gap increased from 33.6% to 34.5%, indicating sustained competitive pressure.</w:t>
      </w:r>
      <w:r>
        <w:rPr>
          <w:rFonts w:eastAsia="Times New Roman"/>
        </w:rPr>
        <w:t xml:space="preserve"> (eMarketer, 2024; Amazon, 2024).</w:t>
      </w:r>
    </w:p>
    <w:p w14:paraId="563BDC74" w14:textId="77777777" w:rsidR="00064CE6" w:rsidRDefault="00000000">
      <w:pPr>
        <w:spacing w:before="40" w:after="40"/>
        <w:ind w:left="360" w:hanging="360"/>
      </w:pPr>
      <w:r>
        <w:rPr>
          <w:rFonts w:eastAsia="Times New Roman"/>
        </w:rPr>
        <w:t>•  Impact Estimate (I): $9.8B — A 3-5 percentage point market share loss represents approximately $9.8B in annual revenue exposure based on Walmart's $648B revenue base (Walmart Inc., 2023).</w:t>
      </w:r>
    </w:p>
    <w:p w14:paraId="51853398" w14:textId="77777777" w:rsidR="00064CE6" w:rsidRDefault="00000000">
      <w:pPr>
        <w:spacing w:before="40" w:after="40"/>
        <w:ind w:left="360" w:hanging="360"/>
      </w:pPr>
      <w:r>
        <w:rPr>
          <w:rFonts w:eastAsia="Times New Roman"/>
        </w:rPr>
        <w:t>•  Expected Loss (EL): $3.43B — Calculated as 0.35 × $9.8B. Monte Carlo simulation produced a 90th percentile loss estimate of $6.2B and a 10th percentile estimate of $1.1B.</w:t>
      </w:r>
    </w:p>
    <w:p w14:paraId="7E1925CE" w14:textId="77777777" w:rsidR="00064CE6" w:rsidRDefault="00000000">
      <w:pPr>
        <w:spacing w:before="40" w:after="40"/>
        <w:ind w:left="360" w:hanging="360"/>
      </w:pPr>
      <w:r>
        <w:rPr>
          <w:rFonts w:eastAsia="Times New Roman"/>
        </w:rPr>
        <w:t>•  Warning Status: AMBER — Market share is currently between 5.5% and 6.4%, indicating increasing competitive pressure that requires management intervention within 30 days.</w:t>
      </w:r>
    </w:p>
    <w:p w14:paraId="25CC5D01" w14:textId="77777777" w:rsidR="00064CE6" w:rsidRDefault="00064CE6">
      <w:pPr>
        <w:pBdr>
          <w:bottom w:val="single" w:sz="4" w:space="1" w:color="0071CE"/>
        </w:pBdr>
        <w:spacing w:before="120" w:after="120"/>
      </w:pPr>
    </w:p>
    <w:p w14:paraId="2C18AAEF" w14:textId="77777777" w:rsidR="00064CE6" w:rsidRDefault="00000000">
      <w:pPr>
        <w:spacing w:before="200" w:after="80"/>
      </w:pPr>
      <w:r>
        <w:rPr>
          <w:rFonts w:eastAsia="Times New Roman"/>
          <w:b/>
          <w:bCs/>
          <w:color w:val="041E42"/>
          <w:sz w:val="24"/>
          <w:szCs w:val="24"/>
          <w:u w:val="single"/>
        </w:rPr>
        <w:t>4. Quantitative Assessment — R-002: Customer Attrition and Loyalty Erosion</w:t>
      </w:r>
    </w:p>
    <w:p w14:paraId="496255CF" w14:textId="77777777" w:rsidR="00064CE6" w:rsidRDefault="00000000">
      <w:pPr>
        <w:spacing w:before="140" w:after="60"/>
      </w:pPr>
      <w:r>
        <w:rPr>
          <w:rFonts w:eastAsia="Times New Roman"/>
          <w:b/>
          <w:bCs/>
          <w:color w:val="0071CE"/>
        </w:rPr>
        <w:t>Indicator: Customer Churn Rate Increase</w:t>
      </w:r>
    </w:p>
    <w:p w14:paraId="5C82CEDF" w14:textId="77777777" w:rsidR="00064CE6" w:rsidRDefault="00000000">
      <w:pPr>
        <w:spacing w:after="120"/>
        <w:jc w:val="both"/>
        <w:rPr>
          <w:color w:val="000000"/>
        </w:rPr>
      </w:pPr>
      <w:r>
        <w:rPr>
          <w:rFonts w:eastAsia="Times New Roman"/>
          <w:color w:val="000000"/>
        </w:rPr>
        <w:t>AI-enabled customer experience capabilities deployed by Amazon (Rufus AI, Alexa+) and Target are creating differentiated service levels that Walmart's current systems cannot fully replicate. The indicator measures the quarterly change in Walmart's customer churn rate relative to the pre-AI transformation baseline.</w:t>
      </w:r>
    </w:p>
    <w:p w14:paraId="44E95345" w14:textId="50000005" w:rsidR="00E01415" w:rsidRDefault="00E01415" w:rsidP="00E01415">
      <w:pPr>
        <w:spacing w:after="120"/>
        <w:jc w:val="center"/>
      </w:pPr>
      <w:r>
        <w:rPr>
          <w:noProof/>
        </w:rPr>
        <w:drawing>
          <wp:inline distT="0" distB="0" distL="0" distR="0" wp14:anchorId="2B0D904A" wp14:editId="7127D12B">
            <wp:extent cx="4409118" cy="2512061"/>
            <wp:effectExtent l="0" t="0" r="0" b="2540"/>
            <wp:docPr id="92298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83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1790" cy="253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23C9" w14:textId="71DFF1DA" w:rsidR="00B063E9" w:rsidRPr="00E01415" w:rsidRDefault="00B063E9" w:rsidP="00E01415">
      <w:pPr>
        <w:spacing w:after="120"/>
        <w:jc w:val="center"/>
      </w:pPr>
      <w:r>
        <w:lastRenderedPageBreak/>
        <w:t>Figure 2</w:t>
      </w:r>
      <w:r>
        <w:rPr>
          <w:rFonts w:hint="eastAsia"/>
        </w:rPr>
        <w:t xml:space="preserve">: Amazon Prime vs Walmart + </w:t>
      </w:r>
      <w:r>
        <w:t>Membership</w:t>
      </w:r>
    </w:p>
    <w:p w14:paraId="214737B3" w14:textId="77777777" w:rsidR="00064CE6" w:rsidRDefault="00000000">
      <w:pPr>
        <w:spacing w:before="40" w:after="40"/>
        <w:ind w:left="360" w:hanging="360"/>
      </w:pPr>
      <w:r>
        <w:rPr>
          <w:rFonts w:eastAsia="Times New Roman"/>
        </w:rPr>
        <w:t>•  Probability Estimate (P): 0.42 — Based on industry data showing AI-lagging retailers experienced 12% churn increases in 2024, and Walmart+ membership growth trailing Amazon Prime by a ratio of 1:3 (McKinsey, 2024).</w:t>
      </w:r>
    </w:p>
    <w:p w14:paraId="44309D14" w14:textId="77777777" w:rsidR="00064CE6" w:rsidRDefault="00000000">
      <w:pPr>
        <w:spacing w:before="40" w:after="40"/>
        <w:ind w:left="360" w:hanging="360"/>
      </w:pPr>
      <w:r>
        <w:rPr>
          <w:rFonts w:eastAsia="Times New Roman"/>
        </w:rPr>
        <w:t>•  Impact Estimate (I): $4.2B — Each 1% increase in customer churn rate represents approximately $750M in annual revenue loss. The warning threshold is set at a 4-7% churn rate, implying a potential impact range of $3.0B-$5.25B (Walmart Inc., 2023).</w:t>
      </w:r>
    </w:p>
    <w:p w14:paraId="1806D3F2" w14:textId="77777777" w:rsidR="00064CE6" w:rsidRDefault="00000000">
      <w:pPr>
        <w:spacing w:before="40" w:after="40"/>
        <w:ind w:left="360" w:hanging="360"/>
      </w:pPr>
      <w:r>
        <w:rPr>
          <w:rFonts w:eastAsia="Times New Roman"/>
        </w:rPr>
        <w:t>•  Expected Loss (EL): $1.76B — Calculated as 0.42 × $4.2B. Monte Carlo simulation produced a 90th percentile loss estimate of $3.8B and a 10th percentile estimate of $0.6B.</w:t>
      </w:r>
    </w:p>
    <w:p w14:paraId="58FDAFEC" w14:textId="77777777" w:rsidR="00064CE6" w:rsidRDefault="00000000">
      <w:pPr>
        <w:spacing w:before="40" w:after="40"/>
        <w:ind w:left="360" w:hanging="360"/>
      </w:pPr>
      <w:r>
        <w:rPr>
          <w:rFonts w:eastAsia="Times New Roman"/>
        </w:rPr>
        <w:t>•  Warning Status: AMBER — Current churn rate trending toward the 4% warning threshold. Machine Learning classification model assigns a 67% probability of threshold breach within 12 months without intervention.</w:t>
      </w:r>
    </w:p>
    <w:p w14:paraId="1752D5BE" w14:textId="77777777" w:rsidR="00064CE6" w:rsidRDefault="00064CE6">
      <w:pPr>
        <w:pBdr>
          <w:bottom w:val="single" w:sz="4" w:space="1" w:color="0071CE"/>
        </w:pBdr>
        <w:spacing w:before="120" w:after="120"/>
      </w:pPr>
    </w:p>
    <w:p w14:paraId="5FDE87CE" w14:textId="77777777" w:rsidR="00064CE6" w:rsidRDefault="00000000">
      <w:pPr>
        <w:spacing w:before="200" w:after="80"/>
      </w:pPr>
      <w:r>
        <w:rPr>
          <w:rFonts w:eastAsia="Times New Roman"/>
          <w:b/>
          <w:bCs/>
          <w:color w:val="041E42"/>
          <w:sz w:val="24"/>
          <w:szCs w:val="24"/>
          <w:u w:val="single"/>
        </w:rPr>
        <w:t>5. Quantitative Assessment — R-003: AI Supply Chain Optimization Opportunity</w:t>
      </w:r>
    </w:p>
    <w:p w14:paraId="770CC2FF" w14:textId="77777777" w:rsidR="00064CE6" w:rsidRDefault="00000000">
      <w:pPr>
        <w:spacing w:before="140" w:after="60"/>
      </w:pPr>
      <w:r>
        <w:rPr>
          <w:rFonts w:eastAsia="Times New Roman"/>
          <w:b/>
          <w:bCs/>
          <w:color w:val="0071CE"/>
        </w:rPr>
        <w:t>Indicator: Inventory Turnover Improvement Rate</w:t>
      </w:r>
    </w:p>
    <w:p w14:paraId="3FA1B6AF" w14:textId="77777777" w:rsidR="00064CE6" w:rsidRDefault="00000000">
      <w:pPr>
        <w:spacing w:after="120"/>
        <w:jc w:val="both"/>
        <w:rPr>
          <w:color w:val="000000"/>
        </w:rPr>
      </w:pPr>
      <w:r>
        <w:rPr>
          <w:rFonts w:eastAsia="Times New Roman"/>
          <w:color w:val="000000"/>
        </w:rPr>
        <w:t>Walmart's active deployment of AI supply chain tools — including the U.S. Supply Chain Playbook AI initiative — creates a quantifiable opportunity to reduce inventory carrying costs and improve operational efficiency. The indicator measures the quarterly improvement rate in inventory turnover relative to the pre-AI baseline.</w:t>
      </w:r>
    </w:p>
    <w:p w14:paraId="79B0727B" w14:textId="756BDBFD" w:rsidR="00784D0F" w:rsidRDefault="00784D0F" w:rsidP="00784D0F">
      <w:pPr>
        <w:spacing w:after="120"/>
        <w:jc w:val="center"/>
      </w:pPr>
      <w:r>
        <w:rPr>
          <w:noProof/>
        </w:rPr>
        <w:drawing>
          <wp:inline distT="0" distB="0" distL="0" distR="0" wp14:anchorId="45E3816E" wp14:editId="65B02665">
            <wp:extent cx="4689806" cy="2663140"/>
            <wp:effectExtent l="0" t="0" r="0" b="4445"/>
            <wp:docPr id="149828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8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4991" cy="267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CAFD" w14:textId="50979046" w:rsidR="00784D0F" w:rsidRPr="00784D0F" w:rsidRDefault="00784D0F" w:rsidP="00784D0F">
      <w:pPr>
        <w:spacing w:after="120"/>
        <w:jc w:val="center"/>
      </w:pPr>
      <w:r>
        <w:rPr>
          <w:rFonts w:hint="eastAsia"/>
        </w:rPr>
        <w:t>Figure 3: Walmart Inventory Turnover Improvement Trend</w:t>
      </w:r>
    </w:p>
    <w:p w14:paraId="39EA2FC4" w14:textId="71DA21CC" w:rsidR="00064CE6" w:rsidRPr="008B295B" w:rsidRDefault="00000000">
      <w:pPr>
        <w:spacing w:before="40" w:after="40"/>
        <w:ind w:left="360" w:hanging="360"/>
      </w:pPr>
      <w:r>
        <w:rPr>
          <w:rFonts w:eastAsia="Times New Roman"/>
        </w:rPr>
        <w:t xml:space="preserve">•  Probability Estimate (P): 0.65 — </w:t>
      </w:r>
      <w:r w:rsidR="008B295B" w:rsidRPr="008B295B">
        <w:rPr>
          <w:rFonts w:eastAsia="Times New Roman"/>
        </w:rPr>
        <w:t>The probability estimate was supported by Walmart's historical inventory turnover improvement trend and ongoing AI-enabled supply chain initiatives</w:t>
      </w:r>
      <w:r w:rsidR="008B295B">
        <w:rPr>
          <w:rFonts w:hint="eastAsia"/>
        </w:rPr>
        <w:t xml:space="preserve"> and b</w:t>
      </w:r>
      <w:r>
        <w:rPr>
          <w:rFonts w:eastAsia="Times New Roman"/>
        </w:rPr>
        <w:t>ased on Walmart's active AI supply chain deployment status and McKinsey research indicating AI supply chains achieve 20-30% cost reduction with 65% probability of success within 24 months (McKinsey, 2024; Walmart Inc., 2025).</w:t>
      </w:r>
      <w:r w:rsidR="008B295B">
        <w:rPr>
          <w:rFonts w:hint="eastAsia"/>
        </w:rPr>
        <w:t xml:space="preserve"> </w:t>
      </w:r>
    </w:p>
    <w:p w14:paraId="68374406" w14:textId="77777777" w:rsidR="00064CE6" w:rsidRDefault="00000000">
      <w:pPr>
        <w:spacing w:before="40" w:after="40"/>
        <w:ind w:left="360" w:hanging="360"/>
      </w:pPr>
      <w:r>
        <w:rPr>
          <w:rFonts w:eastAsia="Times New Roman"/>
        </w:rPr>
        <w:t>•  Impact Estimate (I): +$5.0B — A 20% reduction in inventory carrying costs on Walmart's $40B+ inventory base generates approximately $5.0B in operating cost savings annually (Deloitte, 2025).</w:t>
      </w:r>
    </w:p>
    <w:p w14:paraId="2B398182" w14:textId="77777777" w:rsidR="00064CE6" w:rsidRDefault="00000000">
      <w:pPr>
        <w:spacing w:before="40" w:after="40"/>
        <w:ind w:left="360" w:hanging="360"/>
      </w:pPr>
      <w:r>
        <w:rPr>
          <w:rFonts w:eastAsia="Times New Roman"/>
        </w:rPr>
        <w:t>•  Expected Gain (EG): +$3.25B — Calculated as 0.65 × $5.0B. Monte Carlo simulation produced a 90th percentile gain estimate of $5.8B and a 10th percentile estimate of $1.2B.</w:t>
      </w:r>
    </w:p>
    <w:p w14:paraId="582A1E35" w14:textId="77777777" w:rsidR="00064CE6" w:rsidRDefault="00000000">
      <w:pPr>
        <w:spacing w:before="40" w:after="40"/>
        <w:ind w:left="360" w:hanging="360"/>
      </w:pPr>
      <w:r>
        <w:rPr>
          <w:rFonts w:eastAsia="Times New Roman"/>
        </w:rPr>
        <w:t xml:space="preserve">•  Warning Status: GREEN — Inventory turnover improvement is currently above the 10% annual target. Machine Learning model assigns an 82% probability of sustained performance above the </w:t>
      </w:r>
      <w:proofErr w:type="gramStart"/>
      <w:r>
        <w:rPr>
          <w:rFonts w:eastAsia="Times New Roman"/>
        </w:rPr>
        <w:t>Green</w:t>
      </w:r>
      <w:proofErr w:type="gramEnd"/>
      <w:r>
        <w:rPr>
          <w:rFonts w:eastAsia="Times New Roman"/>
        </w:rPr>
        <w:t xml:space="preserve"> threshold over the next 12 months.</w:t>
      </w:r>
    </w:p>
    <w:p w14:paraId="62D5CA1E" w14:textId="77777777" w:rsidR="00064CE6" w:rsidRDefault="00064CE6">
      <w:pPr>
        <w:pBdr>
          <w:bottom w:val="single" w:sz="4" w:space="1" w:color="0071CE"/>
        </w:pBdr>
        <w:spacing w:before="120" w:after="120"/>
      </w:pPr>
    </w:p>
    <w:p w14:paraId="3EB7CC32" w14:textId="77777777" w:rsidR="00064CE6" w:rsidRDefault="00000000">
      <w:pPr>
        <w:spacing w:before="200" w:after="80"/>
      </w:pPr>
      <w:r>
        <w:rPr>
          <w:rFonts w:eastAsia="Times New Roman"/>
          <w:b/>
          <w:bCs/>
          <w:color w:val="041E42"/>
          <w:sz w:val="24"/>
          <w:szCs w:val="24"/>
          <w:u w:val="single"/>
        </w:rPr>
        <w:lastRenderedPageBreak/>
        <w:t>6. I&amp;W Quantitative Assessment Summary</w:t>
      </w:r>
    </w:p>
    <w:p w14:paraId="2C217833" w14:textId="77777777" w:rsidR="00064CE6" w:rsidRDefault="00000000">
      <w:pPr>
        <w:spacing w:after="120"/>
        <w:jc w:val="both"/>
      </w:pPr>
      <w:r>
        <w:rPr>
          <w:rFonts w:eastAsia="Times New Roman"/>
          <w:color w:val="000000"/>
        </w:rPr>
        <w:t>The table below summarizes the quantitative assessment results across all three competitive risks: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1600"/>
        <w:gridCol w:w="1200"/>
        <w:gridCol w:w="1200"/>
        <w:gridCol w:w="1960"/>
      </w:tblGrid>
      <w:tr w:rsidR="00064CE6" w14:paraId="6068D42E" w14:textId="77777777">
        <w:trPr>
          <w:tblHeader/>
        </w:trPr>
        <w:tc>
          <w:tcPr>
            <w:tcW w:w="1400" w:type="dxa"/>
            <w:tcBorders>
              <w:top w:val="single" w:sz="2" w:space="0" w:color="041E42"/>
              <w:left w:val="single" w:sz="2" w:space="0" w:color="041E42"/>
              <w:bottom w:val="single" w:sz="2" w:space="0" w:color="041E42"/>
              <w:right w:val="single" w:sz="2" w:space="0" w:color="041E42"/>
            </w:tcBorders>
            <w:shd w:val="clear" w:color="auto" w:fill="041E4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D14CC" w14:textId="77777777" w:rsidR="00064CE6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Risk #</w:t>
            </w:r>
          </w:p>
        </w:tc>
        <w:tc>
          <w:tcPr>
            <w:tcW w:w="2000" w:type="dxa"/>
            <w:tcBorders>
              <w:top w:val="single" w:sz="2" w:space="0" w:color="041E42"/>
              <w:left w:val="single" w:sz="2" w:space="0" w:color="041E42"/>
              <w:bottom w:val="single" w:sz="2" w:space="0" w:color="041E42"/>
              <w:right w:val="single" w:sz="2" w:space="0" w:color="041E42"/>
            </w:tcBorders>
            <w:shd w:val="clear" w:color="auto" w:fill="041E4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38889" w14:textId="77777777" w:rsidR="00064CE6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1600" w:type="dxa"/>
            <w:tcBorders>
              <w:top w:val="single" w:sz="2" w:space="0" w:color="041E42"/>
              <w:left w:val="single" w:sz="2" w:space="0" w:color="041E42"/>
              <w:bottom w:val="single" w:sz="2" w:space="0" w:color="041E42"/>
              <w:right w:val="single" w:sz="2" w:space="0" w:color="041E42"/>
            </w:tcBorders>
            <w:shd w:val="clear" w:color="auto" w:fill="041E4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D2FA" w14:textId="77777777" w:rsidR="00064CE6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KRI / Indicator</w:t>
            </w:r>
          </w:p>
        </w:tc>
        <w:tc>
          <w:tcPr>
            <w:tcW w:w="1200" w:type="dxa"/>
            <w:tcBorders>
              <w:top w:val="single" w:sz="2" w:space="0" w:color="041E42"/>
              <w:left w:val="single" w:sz="2" w:space="0" w:color="041E42"/>
              <w:bottom w:val="single" w:sz="2" w:space="0" w:color="041E42"/>
              <w:right w:val="single" w:sz="2" w:space="0" w:color="041E42"/>
            </w:tcBorders>
            <w:shd w:val="clear" w:color="auto" w:fill="041E4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F872E" w14:textId="77777777" w:rsidR="00064CE6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Likelihood (0-1)</w:t>
            </w:r>
          </w:p>
        </w:tc>
        <w:tc>
          <w:tcPr>
            <w:tcW w:w="1200" w:type="dxa"/>
            <w:tcBorders>
              <w:top w:val="single" w:sz="2" w:space="0" w:color="041E42"/>
              <w:left w:val="single" w:sz="2" w:space="0" w:color="041E42"/>
              <w:bottom w:val="single" w:sz="2" w:space="0" w:color="041E42"/>
              <w:right w:val="single" w:sz="2" w:space="0" w:color="041E42"/>
            </w:tcBorders>
            <w:shd w:val="clear" w:color="auto" w:fill="041E4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1B8B1" w14:textId="77777777" w:rsidR="00064CE6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Impact (USD)</w:t>
            </w:r>
          </w:p>
        </w:tc>
        <w:tc>
          <w:tcPr>
            <w:tcW w:w="1960" w:type="dxa"/>
            <w:tcBorders>
              <w:top w:val="single" w:sz="2" w:space="0" w:color="041E42"/>
              <w:left w:val="single" w:sz="2" w:space="0" w:color="041E42"/>
              <w:bottom w:val="single" w:sz="2" w:space="0" w:color="041E42"/>
              <w:right w:val="single" w:sz="2" w:space="0" w:color="041E42"/>
            </w:tcBorders>
            <w:shd w:val="clear" w:color="auto" w:fill="041E4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734FF" w14:textId="77777777" w:rsidR="00064CE6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18"/>
                <w:szCs w:val="18"/>
              </w:rPr>
              <w:t>Expected Loss (EL = P x I)</w:t>
            </w:r>
          </w:p>
        </w:tc>
      </w:tr>
      <w:tr w:rsidR="00064CE6" w14:paraId="0D99BFB6" w14:textId="77777777">
        <w:tc>
          <w:tcPr>
            <w:tcW w:w="14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D5BC" w14:textId="77777777" w:rsidR="00064CE6" w:rsidRDefault="00000000">
            <w:r>
              <w:rPr>
                <w:rFonts w:eastAsia="Times New Roman"/>
                <w:color w:val="041E42"/>
                <w:sz w:val="18"/>
                <w:szCs w:val="18"/>
              </w:rPr>
              <w:t>R-001</w:t>
            </w:r>
          </w:p>
        </w:tc>
        <w:tc>
          <w:tcPr>
            <w:tcW w:w="20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44BCA" w14:textId="77777777" w:rsidR="00064CE6" w:rsidRDefault="00000000">
            <w:r>
              <w:rPr>
                <w:rFonts w:eastAsia="Times New Roman"/>
                <w:color w:val="000000"/>
                <w:sz w:val="18"/>
                <w:szCs w:val="18"/>
              </w:rPr>
              <w:t>Market Share Erosion from Competitive AI Disruption</w:t>
            </w:r>
          </w:p>
        </w:tc>
        <w:tc>
          <w:tcPr>
            <w:tcW w:w="16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4A97" w14:textId="77777777" w:rsidR="00064CE6" w:rsidRDefault="00000000">
            <w:r>
              <w:rPr>
                <w:rFonts w:eastAsia="Times New Roman"/>
                <w:color w:val="0D47A1"/>
                <w:sz w:val="18"/>
                <w:szCs w:val="18"/>
              </w:rPr>
              <w:t>E-Commerce Market Share % Decline Rate</w:t>
            </w:r>
          </w:p>
        </w:tc>
        <w:tc>
          <w:tcPr>
            <w:tcW w:w="12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6444" w14:textId="77777777" w:rsidR="00064CE6" w:rsidRDefault="00000000">
            <w:r>
              <w:rPr>
                <w:rFonts w:eastAsia="Times New Roman"/>
                <w:color w:val="B71C1C"/>
                <w:sz w:val="18"/>
                <w:szCs w:val="18"/>
              </w:rPr>
              <w:t>0.35</w:t>
            </w:r>
          </w:p>
        </w:tc>
        <w:tc>
          <w:tcPr>
            <w:tcW w:w="12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13D45" w14:textId="77777777" w:rsidR="00064CE6" w:rsidRDefault="00000000">
            <w:r>
              <w:rPr>
                <w:rFonts w:eastAsia="Times New Roman"/>
                <w:color w:val="B71C1C"/>
                <w:sz w:val="18"/>
                <w:szCs w:val="18"/>
              </w:rPr>
              <w:t>$9.8B</w:t>
            </w:r>
          </w:p>
        </w:tc>
        <w:tc>
          <w:tcPr>
            <w:tcW w:w="196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8596" w14:textId="77777777" w:rsidR="00064CE6" w:rsidRDefault="00000000">
            <w:r>
              <w:rPr>
                <w:rFonts w:eastAsia="Times New Roman"/>
                <w:color w:val="B71C1C"/>
                <w:sz w:val="18"/>
                <w:szCs w:val="18"/>
              </w:rPr>
              <w:t>$3.43B</w:t>
            </w:r>
          </w:p>
        </w:tc>
      </w:tr>
      <w:tr w:rsidR="00064CE6" w14:paraId="4CE70712" w14:textId="77777777">
        <w:tc>
          <w:tcPr>
            <w:tcW w:w="14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5207" w14:textId="77777777" w:rsidR="00064CE6" w:rsidRDefault="00000000">
            <w:r>
              <w:rPr>
                <w:rFonts w:eastAsia="Times New Roman"/>
                <w:color w:val="041E42"/>
                <w:sz w:val="18"/>
                <w:szCs w:val="18"/>
              </w:rPr>
              <w:t>R-002</w:t>
            </w:r>
          </w:p>
        </w:tc>
        <w:tc>
          <w:tcPr>
            <w:tcW w:w="20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3B721" w14:textId="77777777" w:rsidR="00064CE6" w:rsidRDefault="00000000">
            <w:r>
              <w:rPr>
                <w:rFonts w:eastAsia="Times New Roman"/>
                <w:color w:val="000000"/>
                <w:sz w:val="18"/>
                <w:szCs w:val="18"/>
              </w:rPr>
              <w:t>Customer Attrition and Loyalty Erosion</w:t>
            </w:r>
          </w:p>
        </w:tc>
        <w:tc>
          <w:tcPr>
            <w:tcW w:w="16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25A2" w14:textId="77777777" w:rsidR="00064CE6" w:rsidRDefault="00000000">
            <w:r>
              <w:rPr>
                <w:rFonts w:eastAsia="Times New Roman"/>
                <w:color w:val="0D47A1"/>
                <w:sz w:val="18"/>
                <w:szCs w:val="18"/>
              </w:rPr>
              <w:t>Customer Churn Rate Increase</w:t>
            </w:r>
          </w:p>
        </w:tc>
        <w:tc>
          <w:tcPr>
            <w:tcW w:w="12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19DFA" w14:textId="77777777" w:rsidR="00064CE6" w:rsidRDefault="00000000">
            <w:r>
              <w:rPr>
                <w:rFonts w:eastAsia="Times New Roman"/>
                <w:color w:val="B71C1C"/>
                <w:sz w:val="18"/>
                <w:szCs w:val="18"/>
              </w:rPr>
              <w:t>0.42</w:t>
            </w:r>
          </w:p>
        </w:tc>
        <w:tc>
          <w:tcPr>
            <w:tcW w:w="12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6FD6" w14:textId="77777777" w:rsidR="00064CE6" w:rsidRDefault="00000000">
            <w:r>
              <w:rPr>
                <w:rFonts w:eastAsia="Times New Roman"/>
                <w:color w:val="B71C1C"/>
                <w:sz w:val="18"/>
                <w:szCs w:val="18"/>
              </w:rPr>
              <w:t>$4.2B</w:t>
            </w:r>
          </w:p>
        </w:tc>
        <w:tc>
          <w:tcPr>
            <w:tcW w:w="196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53DD" w14:textId="77777777" w:rsidR="00064CE6" w:rsidRDefault="00000000">
            <w:r>
              <w:rPr>
                <w:rFonts w:eastAsia="Times New Roman"/>
                <w:color w:val="B71C1C"/>
                <w:sz w:val="18"/>
                <w:szCs w:val="18"/>
              </w:rPr>
              <w:t>$1.76B</w:t>
            </w:r>
          </w:p>
        </w:tc>
      </w:tr>
      <w:tr w:rsidR="00064CE6" w14:paraId="7E6B80CE" w14:textId="77777777">
        <w:tc>
          <w:tcPr>
            <w:tcW w:w="14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729CF" w14:textId="77777777" w:rsidR="00064CE6" w:rsidRDefault="00000000">
            <w:r>
              <w:rPr>
                <w:rFonts w:eastAsia="Times New Roman"/>
                <w:color w:val="041E42"/>
                <w:sz w:val="18"/>
                <w:szCs w:val="18"/>
              </w:rPr>
              <w:t>R-003</w:t>
            </w:r>
          </w:p>
        </w:tc>
        <w:tc>
          <w:tcPr>
            <w:tcW w:w="20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BD618" w14:textId="77777777" w:rsidR="00064CE6" w:rsidRDefault="00000000">
            <w:r>
              <w:rPr>
                <w:rFonts w:eastAsia="Times New Roman"/>
                <w:color w:val="000000"/>
                <w:sz w:val="18"/>
                <w:szCs w:val="18"/>
              </w:rPr>
              <w:t>AI Supply Chain Optimization Opportunity</w:t>
            </w:r>
          </w:p>
        </w:tc>
        <w:tc>
          <w:tcPr>
            <w:tcW w:w="16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14623" w14:textId="77777777" w:rsidR="00064CE6" w:rsidRDefault="00000000">
            <w:r>
              <w:rPr>
                <w:rFonts w:eastAsia="Times New Roman"/>
                <w:color w:val="0D47A1"/>
                <w:sz w:val="18"/>
                <w:szCs w:val="18"/>
              </w:rPr>
              <w:t>Inventory Turnover Improvement Rate</w:t>
            </w:r>
          </w:p>
        </w:tc>
        <w:tc>
          <w:tcPr>
            <w:tcW w:w="12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8A74" w14:textId="77777777" w:rsidR="00064CE6" w:rsidRDefault="00000000">
            <w:r>
              <w:rPr>
                <w:rFonts w:eastAsia="Times New Roman"/>
                <w:color w:val="1A5E2E"/>
                <w:sz w:val="18"/>
                <w:szCs w:val="18"/>
              </w:rPr>
              <w:t>0.65</w:t>
            </w:r>
          </w:p>
        </w:tc>
        <w:tc>
          <w:tcPr>
            <w:tcW w:w="12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409C" w14:textId="77777777" w:rsidR="00064CE6" w:rsidRDefault="00000000">
            <w:r>
              <w:rPr>
                <w:rFonts w:eastAsia="Times New Roman"/>
                <w:color w:val="1A5E2E"/>
                <w:sz w:val="18"/>
                <w:szCs w:val="18"/>
              </w:rPr>
              <w:t>+$5.0B</w:t>
            </w:r>
          </w:p>
        </w:tc>
        <w:tc>
          <w:tcPr>
            <w:tcW w:w="196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36A8D" w14:textId="77777777" w:rsidR="00064CE6" w:rsidRDefault="00000000">
            <w:r>
              <w:rPr>
                <w:rFonts w:eastAsia="Times New Roman"/>
                <w:color w:val="1A5E2E"/>
                <w:sz w:val="18"/>
                <w:szCs w:val="18"/>
              </w:rPr>
              <w:t>+$3.25B</w:t>
            </w:r>
          </w:p>
        </w:tc>
      </w:tr>
    </w:tbl>
    <w:p w14:paraId="7D395A04" w14:textId="7842B693" w:rsidR="00064CE6" w:rsidRDefault="00BF1B1E" w:rsidP="00BF1B1E">
      <w:pPr>
        <w:spacing w:before="80"/>
        <w:jc w:val="center"/>
      </w:pPr>
      <w:r>
        <w:rPr>
          <w:noProof/>
        </w:rPr>
        <w:drawing>
          <wp:inline distT="0" distB="0" distL="0" distR="0" wp14:anchorId="32630EE7" wp14:editId="211302CB">
            <wp:extent cx="4375656" cy="2488654"/>
            <wp:effectExtent l="0" t="0" r="6350" b="6985"/>
            <wp:docPr id="104705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59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286" cy="249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90CA" w14:textId="520198F3" w:rsidR="00BF1B1E" w:rsidRDefault="00BF1B1E" w:rsidP="00BF1B1E">
      <w:pPr>
        <w:spacing w:before="80"/>
        <w:jc w:val="center"/>
      </w:pPr>
      <w:r>
        <w:rPr>
          <w:rFonts w:hint="eastAsia"/>
        </w:rPr>
        <w:t>Figure 4: Expected Loss / Gain by risk based on I &amp; W Quantitative Assessment</w:t>
      </w:r>
    </w:p>
    <w:p w14:paraId="453C746C" w14:textId="4AF1488E" w:rsidR="00BF1B1E" w:rsidRDefault="00BF1B1E" w:rsidP="00BF1B1E">
      <w:pPr>
        <w:spacing w:before="80"/>
      </w:pPr>
      <w:r>
        <w:rPr>
          <w:rFonts w:hint="eastAsia"/>
        </w:rPr>
        <w:t xml:space="preserve">From </w:t>
      </w:r>
      <w:r>
        <w:t>table</w:t>
      </w:r>
      <w:r>
        <w:rPr>
          <w:rFonts w:hint="eastAsia"/>
        </w:rPr>
        <w:t xml:space="preserve"> and figure 4, it </w:t>
      </w:r>
      <w:r w:rsidRPr="00BF1B1E">
        <w:t>summarizes the expected loss or gain for each risk based on the I&amp;W quantitative assessment. R1 has the highest expected loss at $3.43B, followed by R2 at $1.76B. R3 is treated as an opportunity risk, with an expected gain of $3.25B. This comparison helps prioritize risk response by translating probability and impact estimates into a common financial measure.</w:t>
      </w:r>
    </w:p>
    <w:p w14:paraId="1C3F3CF9" w14:textId="77777777" w:rsidR="00064CE6" w:rsidRDefault="00064CE6">
      <w:pPr>
        <w:pBdr>
          <w:bottom w:val="single" w:sz="4" w:space="1" w:color="0071CE"/>
        </w:pBdr>
        <w:spacing w:before="120" w:after="120"/>
      </w:pPr>
    </w:p>
    <w:p w14:paraId="4112D720" w14:textId="77777777" w:rsidR="00064CE6" w:rsidRDefault="00000000">
      <w:pPr>
        <w:spacing w:before="200" w:after="80"/>
        <w:rPr>
          <w:b/>
          <w:bCs/>
          <w:color w:val="041E42"/>
          <w:sz w:val="24"/>
          <w:szCs w:val="24"/>
          <w:u w:val="single"/>
        </w:rPr>
      </w:pPr>
      <w:r>
        <w:rPr>
          <w:rFonts w:eastAsia="Times New Roman"/>
          <w:b/>
          <w:bCs/>
          <w:color w:val="041E42"/>
          <w:sz w:val="24"/>
          <w:szCs w:val="24"/>
          <w:u w:val="single"/>
        </w:rPr>
        <w:t>7. Monte Carlo Simulation and Machine Learning Validation</w:t>
      </w:r>
    </w:p>
    <w:p w14:paraId="639439C4" w14:textId="460125F9" w:rsidR="00614BCC" w:rsidRPr="00614BCC" w:rsidRDefault="00614BCC">
      <w:pPr>
        <w:spacing w:before="200" w:after="80"/>
      </w:pPr>
      <w:r>
        <w:rPr>
          <w:rFonts w:hint="eastAsia"/>
          <w:b/>
          <w:bCs/>
          <w:color w:val="041E42"/>
          <w:sz w:val="24"/>
          <w:szCs w:val="24"/>
          <w:u w:val="single"/>
        </w:rPr>
        <w:t>Monte Carlo Simulation</w:t>
      </w:r>
    </w:p>
    <w:p w14:paraId="112DCE2C" w14:textId="4BD44A1B" w:rsidR="006326F4" w:rsidRDefault="006326F4">
      <w:pPr>
        <w:spacing w:after="120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46901DB0" wp14:editId="4470F838">
            <wp:extent cx="3093720" cy="2036363"/>
            <wp:effectExtent l="0" t="0" r="0" b="2540"/>
            <wp:docPr id="15173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87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2498" cy="204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BB9DD" wp14:editId="6ED4FEAC">
            <wp:extent cx="3157855" cy="2029478"/>
            <wp:effectExtent l="0" t="0" r="4445" b="8890"/>
            <wp:docPr id="85157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78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0943" cy="203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05EE" w14:textId="44EBC14C" w:rsidR="006326F4" w:rsidRDefault="006326F4" w:rsidP="006326F4">
      <w:pPr>
        <w:spacing w:after="120"/>
        <w:jc w:val="center"/>
        <w:rPr>
          <w:color w:val="000000"/>
        </w:rPr>
      </w:pPr>
      <w:r>
        <w:rPr>
          <w:rFonts w:hint="eastAsia"/>
          <w:color w:val="000000"/>
        </w:rPr>
        <w:lastRenderedPageBreak/>
        <w:t xml:space="preserve">Figure 5 &amp; 6: Monte Carlo Simulation of Expected </w:t>
      </w:r>
      <w:r w:rsidR="00A14BDF">
        <w:rPr>
          <w:color w:val="000000"/>
        </w:rPr>
        <w:t>Loss</w:t>
      </w:r>
      <w:r>
        <w:rPr>
          <w:rFonts w:hint="eastAsia"/>
          <w:color w:val="000000"/>
        </w:rPr>
        <w:t>/ Gain outcome, Risk Outcome Range</w:t>
      </w:r>
    </w:p>
    <w:p w14:paraId="3CBA31A4" w14:textId="3D5C18BD" w:rsidR="006326F4" w:rsidRDefault="00000000">
      <w:pPr>
        <w:spacing w:after="120"/>
        <w:jc w:val="both"/>
        <w:rPr>
          <w:color w:val="000000"/>
        </w:rPr>
      </w:pPr>
      <w:r>
        <w:rPr>
          <w:rFonts w:eastAsia="Times New Roman"/>
          <w:color w:val="000000"/>
        </w:rPr>
        <w:t xml:space="preserve">Monte Carlo simulation was applied across 10,000 iterations for each risk, varying probability and impact inputs within defined uncertainty ranges (±20%). </w:t>
      </w:r>
      <w:r w:rsidR="006326F4" w:rsidRPr="006326F4">
        <w:rPr>
          <w:color w:val="000000"/>
        </w:rPr>
        <w:t>The Python-based Monte Carlo simulation generated 10,000 outcomes for each risk by varying both probability and impact assumptions within a ±20% uncertainty range. The results show that R1 has the largest downside exposure, with a higher P90 loss outcome than R2. R3 shows a positive opportunity distribution, indicating that AI-enabled supply chain optimization may generate measurable operational value if implementation targets are achieved.</w:t>
      </w:r>
    </w:p>
    <w:p w14:paraId="152DA26E" w14:textId="266D9AA4" w:rsidR="00614BCC" w:rsidRPr="00614BCC" w:rsidRDefault="00614BCC" w:rsidP="00614BCC">
      <w:pPr>
        <w:spacing w:before="200" w:after="80"/>
      </w:pPr>
      <w:r>
        <w:rPr>
          <w:rFonts w:hint="eastAsia"/>
          <w:b/>
          <w:bCs/>
          <w:color w:val="041E42"/>
          <w:sz w:val="24"/>
          <w:szCs w:val="24"/>
          <w:u w:val="single"/>
        </w:rPr>
        <w:t>Random Forest Machine Learning</w:t>
      </w:r>
    </w:p>
    <w:p w14:paraId="7D147D8E" w14:textId="720B286B" w:rsidR="00614BCC" w:rsidRDefault="00614BCC" w:rsidP="00614BCC">
      <w:pPr>
        <w:spacing w:after="12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311A731A" wp14:editId="4059C285">
            <wp:extent cx="4678586" cy="2661410"/>
            <wp:effectExtent l="0" t="0" r="8255" b="5715"/>
            <wp:docPr id="183476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62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86" cy="266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C70B" w14:textId="7D4FED81" w:rsidR="00614BCC" w:rsidRDefault="00614BCC" w:rsidP="00614BCC">
      <w:pPr>
        <w:spacing w:after="120"/>
        <w:jc w:val="center"/>
        <w:rPr>
          <w:color w:val="000000"/>
        </w:rPr>
      </w:pPr>
      <w:r>
        <w:rPr>
          <w:rFonts w:hint="eastAsia"/>
          <w:color w:val="000000"/>
        </w:rPr>
        <w:t>Figure 7: Random Forest Predicted Warning Probability by Risk</w:t>
      </w:r>
    </w:p>
    <w:p w14:paraId="78C4EF56" w14:textId="2F7BD9E7" w:rsidR="00614BCC" w:rsidRDefault="00614BCC">
      <w:pPr>
        <w:spacing w:after="120"/>
        <w:jc w:val="both"/>
        <w:rPr>
          <w:color w:val="000000"/>
        </w:rPr>
      </w:pPr>
      <w:r w:rsidRPr="00614BCC">
        <w:rPr>
          <w:color w:val="000000"/>
        </w:rPr>
        <w:t>A Random Forest classification model was developed using 500 scenario based I&amp;W observations generated from public market data, financial indicators, and defined warning thresholds. Because Walmart-specific AI risk event data and customer churn data are not publicly available, the model was used as a scenario validation tool rather than a fully predictive historical model. The model incorporated indicators such as market share gap, customer loyalty gap, inventory turnover, competitor AI pressure, and revenue exposure.</w:t>
      </w:r>
      <w:r>
        <w:rPr>
          <w:rFonts w:hint="eastAsia"/>
          <w:color w:val="000000"/>
        </w:rPr>
        <w:t xml:space="preserve"> </w:t>
      </w:r>
    </w:p>
    <w:p w14:paraId="23179C16" w14:textId="46DB5A5A" w:rsidR="00614BCC" w:rsidRDefault="00614BCC">
      <w:pPr>
        <w:spacing w:after="120"/>
        <w:jc w:val="both"/>
        <w:rPr>
          <w:color w:val="000000"/>
        </w:rPr>
      </w:pPr>
      <w:r>
        <w:rPr>
          <w:rFonts w:hint="eastAsia"/>
          <w:color w:val="000000"/>
        </w:rPr>
        <w:t xml:space="preserve">From result, </w:t>
      </w:r>
      <w:r w:rsidRPr="00614BCC">
        <w:rPr>
          <w:color w:val="000000"/>
        </w:rPr>
        <w:t xml:space="preserve">Random Forest results show which I&amp;W indicators have the strongest influence on warning status classification. Feature importance analysis helps validate the I&amp;W framework by identifying the indicators that most strongly contribute to Low, Medium, or High warning outcomes. The predicted </w:t>
      </w:r>
      <w:r w:rsidR="00D76D6B" w:rsidRPr="00614BCC">
        <w:rPr>
          <w:color w:val="000000"/>
        </w:rPr>
        <w:t>warning</w:t>
      </w:r>
      <w:r w:rsidRPr="00614BCC">
        <w:rPr>
          <w:color w:val="000000"/>
        </w:rPr>
        <w:t xml:space="preserve"> chart further supports management prioritization by showing which risks are more likely to approach Amber or Red warning thresholds.</w:t>
      </w:r>
    </w:p>
    <w:p w14:paraId="209916BC" w14:textId="77777777" w:rsidR="00064CE6" w:rsidRDefault="00000000">
      <w:pPr>
        <w:spacing w:after="120"/>
        <w:jc w:val="both"/>
      </w:pPr>
      <w:r>
        <w:rPr>
          <w:rFonts w:eastAsia="Times New Roman"/>
          <w:color w:val="000000"/>
        </w:rPr>
        <w:t>The combined I&amp;W, Monte Carlo, and ML analysis framework provides Walmart's risk management team with a quantitatively grounded basis for resource allocation, mitigation prioritization, and board-level risk reporting.</w:t>
      </w:r>
    </w:p>
    <w:p w14:paraId="2C09FD3E" w14:textId="77777777" w:rsidR="00064CE6" w:rsidRDefault="00064CE6">
      <w:pPr>
        <w:pBdr>
          <w:bottom w:val="single" w:sz="4" w:space="1" w:color="0071CE"/>
        </w:pBdr>
        <w:spacing w:before="120" w:after="120"/>
      </w:pPr>
    </w:p>
    <w:p w14:paraId="1F6896FA" w14:textId="77777777" w:rsidR="004121C1" w:rsidRDefault="004121C1">
      <w:pPr>
        <w:spacing w:before="200" w:after="80"/>
        <w:rPr>
          <w:b/>
          <w:bCs/>
          <w:color w:val="041E42"/>
          <w:sz w:val="24"/>
          <w:szCs w:val="24"/>
          <w:u w:val="single"/>
        </w:rPr>
      </w:pPr>
    </w:p>
    <w:p w14:paraId="3CCA4AD8" w14:textId="77777777" w:rsidR="004121C1" w:rsidRDefault="004121C1">
      <w:pPr>
        <w:spacing w:before="200" w:after="80"/>
        <w:rPr>
          <w:b/>
          <w:bCs/>
          <w:color w:val="041E42"/>
          <w:sz w:val="24"/>
          <w:szCs w:val="24"/>
          <w:u w:val="single"/>
        </w:rPr>
      </w:pPr>
    </w:p>
    <w:p w14:paraId="7AD61429" w14:textId="77777777" w:rsidR="004121C1" w:rsidRDefault="004121C1">
      <w:pPr>
        <w:spacing w:before="200" w:after="80"/>
        <w:rPr>
          <w:b/>
          <w:bCs/>
          <w:color w:val="041E42"/>
          <w:sz w:val="24"/>
          <w:szCs w:val="24"/>
          <w:u w:val="single"/>
        </w:rPr>
      </w:pPr>
    </w:p>
    <w:p w14:paraId="326580F4" w14:textId="77777777" w:rsidR="004121C1" w:rsidRDefault="004121C1">
      <w:pPr>
        <w:spacing w:before="200" w:after="80"/>
        <w:rPr>
          <w:b/>
          <w:bCs/>
          <w:color w:val="041E42"/>
          <w:sz w:val="24"/>
          <w:szCs w:val="24"/>
          <w:u w:val="single"/>
        </w:rPr>
      </w:pPr>
    </w:p>
    <w:p w14:paraId="4F99608B" w14:textId="77777777" w:rsidR="004121C1" w:rsidRDefault="004121C1">
      <w:pPr>
        <w:spacing w:before="200" w:after="80"/>
        <w:rPr>
          <w:b/>
          <w:bCs/>
          <w:color w:val="041E42"/>
          <w:sz w:val="24"/>
          <w:szCs w:val="24"/>
          <w:u w:val="single"/>
        </w:rPr>
      </w:pPr>
    </w:p>
    <w:p w14:paraId="5336B6BD" w14:textId="77777777" w:rsidR="004121C1" w:rsidRDefault="004121C1">
      <w:pPr>
        <w:spacing w:before="200" w:after="80"/>
        <w:rPr>
          <w:b/>
          <w:bCs/>
          <w:color w:val="041E42"/>
          <w:sz w:val="24"/>
          <w:szCs w:val="24"/>
          <w:u w:val="single"/>
        </w:rPr>
      </w:pPr>
    </w:p>
    <w:p w14:paraId="1645104A" w14:textId="4A199A06" w:rsidR="00064CE6" w:rsidRDefault="00000000">
      <w:pPr>
        <w:spacing w:before="200" w:after="80"/>
      </w:pPr>
      <w:r>
        <w:rPr>
          <w:rFonts w:eastAsia="Times New Roman"/>
          <w:b/>
          <w:bCs/>
          <w:color w:val="041E42"/>
          <w:sz w:val="24"/>
          <w:szCs w:val="24"/>
          <w:u w:val="single"/>
        </w:rPr>
        <w:lastRenderedPageBreak/>
        <w:t>References</w:t>
      </w:r>
    </w:p>
    <w:p w14:paraId="728E9569" w14:textId="77777777" w:rsidR="00064CE6" w:rsidRDefault="00000000">
      <w:pPr>
        <w:spacing w:after="80"/>
        <w:ind w:left="720" w:hanging="720"/>
        <w:jc w:val="both"/>
      </w:pPr>
      <w:r>
        <w:rPr>
          <w:rFonts w:eastAsia="Times New Roman"/>
          <w:sz w:val="20"/>
          <w:szCs w:val="20"/>
        </w:rPr>
        <w:t xml:space="preserve">Amazon.com, Inc. (2024). </w:t>
      </w:r>
      <w:r>
        <w:rPr>
          <w:rFonts w:eastAsia="Times New Roman"/>
          <w:i/>
          <w:iCs/>
          <w:sz w:val="20"/>
          <w:szCs w:val="20"/>
        </w:rPr>
        <w:t>Annual report 2023.</w:t>
      </w:r>
      <w:r>
        <w:rPr>
          <w:rFonts w:eastAsia="Times New Roman"/>
          <w:sz w:val="20"/>
          <w:szCs w:val="20"/>
        </w:rPr>
        <w:t xml:space="preserve"> https://ir.aboutamazon.com</w:t>
      </w:r>
    </w:p>
    <w:p w14:paraId="6306D5A1" w14:textId="77777777" w:rsidR="00064CE6" w:rsidRDefault="00000000">
      <w:pPr>
        <w:spacing w:after="80"/>
        <w:ind w:left="720" w:hanging="720"/>
        <w:jc w:val="both"/>
      </w:pPr>
      <w:r>
        <w:rPr>
          <w:rFonts w:eastAsia="Times New Roman"/>
          <w:sz w:val="20"/>
          <w:szCs w:val="20"/>
        </w:rPr>
        <w:t xml:space="preserve">COSO. (2017). </w:t>
      </w:r>
      <w:r>
        <w:rPr>
          <w:rFonts w:eastAsia="Times New Roman"/>
          <w:i/>
          <w:iCs/>
          <w:sz w:val="20"/>
          <w:szCs w:val="20"/>
        </w:rPr>
        <w:t>Enterprise risk management: Integrating with strategy and performance.</w:t>
      </w:r>
      <w:r>
        <w:rPr>
          <w:rFonts w:eastAsia="Times New Roman"/>
          <w:sz w:val="20"/>
          <w:szCs w:val="20"/>
        </w:rPr>
        <w:t xml:space="preserve"> Committee of Sponsoring Organizations of the Treadway Commission. https://www.coso.org</w:t>
      </w:r>
    </w:p>
    <w:p w14:paraId="183E5E54" w14:textId="77777777" w:rsidR="00064CE6" w:rsidRDefault="00000000">
      <w:pPr>
        <w:spacing w:after="80"/>
        <w:ind w:left="720" w:hanging="720"/>
        <w:jc w:val="both"/>
      </w:pPr>
      <w:r>
        <w:rPr>
          <w:rFonts w:eastAsia="Times New Roman"/>
          <w:sz w:val="20"/>
          <w:szCs w:val="20"/>
        </w:rPr>
        <w:t xml:space="preserve">Deloitte. (2025). </w:t>
      </w:r>
      <w:r>
        <w:rPr>
          <w:rFonts w:eastAsia="Times New Roman"/>
          <w:i/>
          <w:iCs/>
          <w:sz w:val="20"/>
          <w:szCs w:val="20"/>
        </w:rPr>
        <w:t>Retail and supply chain industry insights.</w:t>
      </w:r>
      <w:r>
        <w:rPr>
          <w:rFonts w:eastAsia="Times New Roman"/>
          <w:sz w:val="20"/>
          <w:szCs w:val="20"/>
        </w:rPr>
        <w:t xml:space="preserve"> https://www.deloitte.com/us/en/industries/retail-distribution.html</w:t>
      </w:r>
    </w:p>
    <w:p w14:paraId="2BB57204" w14:textId="77777777" w:rsidR="00064CE6" w:rsidRDefault="00000000">
      <w:pPr>
        <w:spacing w:after="80"/>
        <w:ind w:left="720" w:hanging="720"/>
        <w:jc w:val="both"/>
      </w:pPr>
      <w:r>
        <w:rPr>
          <w:rFonts w:eastAsia="Times New Roman"/>
          <w:sz w:val="20"/>
          <w:szCs w:val="20"/>
        </w:rPr>
        <w:t xml:space="preserve">eMarketer. (2024). </w:t>
      </w:r>
      <w:r>
        <w:rPr>
          <w:rFonts w:eastAsia="Times New Roman"/>
          <w:i/>
          <w:iCs/>
          <w:sz w:val="20"/>
          <w:szCs w:val="20"/>
        </w:rPr>
        <w:t>US ecommerce market share 2024.</w:t>
      </w:r>
      <w:r>
        <w:rPr>
          <w:rFonts w:eastAsia="Times New Roman"/>
          <w:sz w:val="20"/>
          <w:szCs w:val="20"/>
        </w:rPr>
        <w:t xml:space="preserve"> https://www.emarketer.com</w:t>
      </w:r>
    </w:p>
    <w:p w14:paraId="6AE3D174" w14:textId="77777777" w:rsidR="00064CE6" w:rsidRDefault="00000000">
      <w:pPr>
        <w:spacing w:after="80"/>
        <w:ind w:left="720" w:hanging="720"/>
        <w:jc w:val="both"/>
      </w:pPr>
      <w:r>
        <w:rPr>
          <w:rFonts w:eastAsia="Times New Roman"/>
          <w:sz w:val="20"/>
          <w:szCs w:val="20"/>
        </w:rPr>
        <w:t xml:space="preserve">McKinsey &amp; Company. (2024). </w:t>
      </w:r>
      <w:r>
        <w:rPr>
          <w:rFonts w:eastAsia="Times New Roman"/>
          <w:i/>
          <w:iCs/>
          <w:sz w:val="20"/>
          <w:szCs w:val="20"/>
        </w:rPr>
        <w:t>Supply chain and operations insights.</w:t>
      </w:r>
      <w:r>
        <w:rPr>
          <w:rFonts w:eastAsia="Times New Roman"/>
          <w:sz w:val="20"/>
          <w:szCs w:val="20"/>
        </w:rPr>
        <w:t xml:space="preserve"> https://www.mckinsey.com/capabilities/operations/our-insights</w:t>
      </w:r>
    </w:p>
    <w:p w14:paraId="40E72C5A" w14:textId="77777777" w:rsidR="00064CE6" w:rsidRDefault="00000000">
      <w:pPr>
        <w:spacing w:after="80"/>
        <w:ind w:left="720" w:hanging="720"/>
        <w:jc w:val="both"/>
      </w:pPr>
      <w:r>
        <w:rPr>
          <w:rFonts w:eastAsia="Times New Roman"/>
          <w:sz w:val="20"/>
          <w:szCs w:val="20"/>
        </w:rPr>
        <w:t xml:space="preserve">Walmart Inc. (2023). </w:t>
      </w:r>
      <w:r>
        <w:rPr>
          <w:rFonts w:eastAsia="Times New Roman"/>
          <w:i/>
          <w:iCs/>
          <w:sz w:val="20"/>
          <w:szCs w:val="20"/>
        </w:rPr>
        <w:t>Annual report on Form 10-K for the fiscal year ended January 31, 2023.</w:t>
      </w:r>
      <w:r>
        <w:rPr>
          <w:rFonts w:eastAsia="Times New Roman"/>
          <w:sz w:val="20"/>
          <w:szCs w:val="20"/>
        </w:rPr>
        <w:t xml:space="preserve"> U.S. Securities and Exchange Commission. https://stock.walmart.com/sec-filings</w:t>
      </w:r>
    </w:p>
    <w:p w14:paraId="7F9D5108" w14:textId="77777777" w:rsidR="00064CE6" w:rsidRDefault="00000000">
      <w:pPr>
        <w:spacing w:after="80"/>
        <w:ind w:left="720" w:hanging="720"/>
        <w:jc w:val="both"/>
      </w:pPr>
      <w:r>
        <w:rPr>
          <w:rFonts w:eastAsia="Times New Roman"/>
          <w:sz w:val="20"/>
          <w:szCs w:val="20"/>
        </w:rPr>
        <w:t xml:space="preserve">Walmart Inc. (2025). </w:t>
      </w:r>
      <w:r>
        <w:rPr>
          <w:rFonts w:eastAsia="Times New Roman"/>
          <w:i/>
          <w:iCs/>
          <w:sz w:val="20"/>
          <w:szCs w:val="20"/>
        </w:rPr>
        <w:t>Walmart's U.S. supply chain playbook goes global.</w:t>
      </w:r>
      <w:r>
        <w:rPr>
          <w:rFonts w:eastAsia="Times New Roman"/>
          <w:sz w:val="20"/>
          <w:szCs w:val="20"/>
        </w:rPr>
        <w:t xml:space="preserve"> https://corporate.walmart.com/news</w:t>
      </w:r>
    </w:p>
    <w:sectPr w:rsidR="00064C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D6803"/>
    <w:multiLevelType w:val="hybridMultilevel"/>
    <w:tmpl w:val="23000076"/>
    <w:lvl w:ilvl="0" w:tplc="FCF62A12">
      <w:start w:val="1"/>
      <w:numFmt w:val="bullet"/>
      <w:lvlText w:val="●"/>
      <w:lvlJc w:val="left"/>
      <w:pPr>
        <w:ind w:left="720" w:hanging="360"/>
      </w:pPr>
    </w:lvl>
    <w:lvl w:ilvl="1" w:tplc="4498E736">
      <w:start w:val="1"/>
      <w:numFmt w:val="bullet"/>
      <w:lvlText w:val="○"/>
      <w:lvlJc w:val="left"/>
      <w:pPr>
        <w:ind w:left="1440" w:hanging="360"/>
      </w:pPr>
    </w:lvl>
    <w:lvl w:ilvl="2" w:tplc="B6D6D7C4">
      <w:start w:val="1"/>
      <w:numFmt w:val="bullet"/>
      <w:lvlText w:val="■"/>
      <w:lvlJc w:val="left"/>
      <w:pPr>
        <w:ind w:left="2160" w:hanging="360"/>
      </w:pPr>
    </w:lvl>
    <w:lvl w:ilvl="3" w:tplc="0178BAAC">
      <w:start w:val="1"/>
      <w:numFmt w:val="bullet"/>
      <w:lvlText w:val="●"/>
      <w:lvlJc w:val="left"/>
      <w:pPr>
        <w:ind w:left="2880" w:hanging="360"/>
      </w:pPr>
    </w:lvl>
    <w:lvl w:ilvl="4" w:tplc="E5847E0A">
      <w:start w:val="1"/>
      <w:numFmt w:val="bullet"/>
      <w:lvlText w:val="○"/>
      <w:lvlJc w:val="left"/>
      <w:pPr>
        <w:ind w:left="3600" w:hanging="360"/>
      </w:pPr>
    </w:lvl>
    <w:lvl w:ilvl="5" w:tplc="E3C0C626">
      <w:start w:val="1"/>
      <w:numFmt w:val="bullet"/>
      <w:lvlText w:val="■"/>
      <w:lvlJc w:val="left"/>
      <w:pPr>
        <w:ind w:left="4320" w:hanging="360"/>
      </w:pPr>
    </w:lvl>
    <w:lvl w:ilvl="6" w:tplc="3C807338">
      <w:start w:val="1"/>
      <w:numFmt w:val="bullet"/>
      <w:lvlText w:val="●"/>
      <w:lvlJc w:val="left"/>
      <w:pPr>
        <w:ind w:left="5040" w:hanging="360"/>
      </w:pPr>
    </w:lvl>
    <w:lvl w:ilvl="7" w:tplc="C8865AE0">
      <w:start w:val="1"/>
      <w:numFmt w:val="bullet"/>
      <w:lvlText w:val="●"/>
      <w:lvlJc w:val="left"/>
      <w:pPr>
        <w:ind w:left="5760" w:hanging="360"/>
      </w:pPr>
    </w:lvl>
    <w:lvl w:ilvl="8" w:tplc="D884F790">
      <w:start w:val="1"/>
      <w:numFmt w:val="bullet"/>
      <w:lvlText w:val="●"/>
      <w:lvlJc w:val="left"/>
      <w:pPr>
        <w:ind w:left="6480" w:hanging="360"/>
      </w:pPr>
    </w:lvl>
  </w:abstractNum>
  <w:num w:numId="1" w16cid:durableId="18668243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CE6"/>
    <w:rsid w:val="00064CE6"/>
    <w:rsid w:val="001D6DBD"/>
    <w:rsid w:val="004121C1"/>
    <w:rsid w:val="00614BCC"/>
    <w:rsid w:val="006326F4"/>
    <w:rsid w:val="00784D0F"/>
    <w:rsid w:val="008A4C69"/>
    <w:rsid w:val="008B295B"/>
    <w:rsid w:val="009A702D"/>
    <w:rsid w:val="00A03620"/>
    <w:rsid w:val="00A14BDF"/>
    <w:rsid w:val="00B063E9"/>
    <w:rsid w:val="00BF1B1E"/>
    <w:rsid w:val="00CA34B3"/>
    <w:rsid w:val="00D4791B"/>
    <w:rsid w:val="00D76D6B"/>
    <w:rsid w:val="00E01415"/>
    <w:rsid w:val="00E71D97"/>
    <w:rsid w:val="00FD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5CFF2"/>
  <w15:docId w15:val="{B5246D19-6F45-473E-96CC-DFAB8D726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1601</Words>
  <Characters>9129</Characters>
  <Application>Microsoft Office Word</Application>
  <DocSecurity>0</DocSecurity>
  <Lines>76</Lines>
  <Paragraphs>21</Paragraphs>
  <ScaleCrop>false</ScaleCrop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isaac4ideho@gmail.com</cp:lastModifiedBy>
  <cp:revision>19</cp:revision>
  <dcterms:created xsi:type="dcterms:W3CDTF">2026-06-14T02:01:00Z</dcterms:created>
  <dcterms:modified xsi:type="dcterms:W3CDTF">2026-06-17T23:24:00Z</dcterms:modified>
</cp:coreProperties>
</file>