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Cambria" w:cs="Cambria" w:eastAsia="Cambria" w:hAnsi="Cambria"/>
          <w:b/>
          <w:bCs/>
          <w:spacing w:val="60"/>
          <w:sz w:val="22"/>
          <w:szCs w:val="22"/>
        </w:rPr>
        <w:t xml:space="preserve">GUÍA DE LECTURA Y ANOTACIÓN</w:t>
      </w:r>
    </w:p>
    <w:p>
      <w:pPr>
        <w:spacing w:after="60"/>
      </w:pPr>
      <w:r>
        <w:rPr>
          <w:rFonts w:ascii="Cambria" w:cs="Cambria" w:eastAsia="Cambria" w:hAnsi="Cambria"/>
          <w:b/>
          <w:bCs/>
          <w:sz w:val="44"/>
          <w:szCs w:val="44"/>
        </w:rPr>
        <w:t xml:space="preserve">Theodor W. Adorno</w:t>
      </w:r>
    </w:p>
    <w:p>
      <w:pPr>
        <w:spacing w:after="300"/>
      </w:pPr>
      <w:r>
        <w:rPr>
          <w:rFonts w:ascii="Cambria" w:cs="Cambria" w:eastAsia="Cambria" w:hAnsi="Cambria"/>
          <w:i/>
          <w:iCs/>
          <w:sz w:val="34"/>
          <w:szCs w:val="34"/>
        </w:rPr>
        <w:t xml:space="preserve">Epistemología y ciencias sociales</w:t>
      </w:r>
    </w:p>
    <w:p>
      <w:pPr>
        <w:pBdr>
          <w:bottom w:val="single" w:color="000000" w:sz="12" w:space="8"/>
        </w:pBdr>
        <w:spacing w:after="240"/>
      </w:pPr>
      <w:r>
        <w:t xml:space="preserve"/>
      </w:r>
    </w:p>
    <w:p>
      <w:pPr>
        <w:spacing w:after="120" w:line="300"/>
        <w:jc w:val="both"/>
      </w:pPr>
      <w:r>
        <w:rPr>
          <w:rFonts w:ascii="Cambria" w:cs="Cambria" w:eastAsia="Cambria" w:hAnsi="Cambria"/>
          <w:sz w:val="21"/>
          <w:szCs w:val="21"/>
        </w:rPr>
        <w:t xml:space="preserve">Documento de trabajo para lectura activa, subrayado y elaboración de fichas.</w:t>
      </w:r>
    </w:p>
    <w:p>
      <w:pPr>
        <w:spacing w:after="120" w:line="300"/>
        <w:jc w:val="both"/>
      </w:pPr>
      <w:r>
        <w:rPr>
          <w:rFonts w:ascii="Cambria" w:cs="Cambria" w:eastAsia="Cambria" w:hAnsi="Cambria"/>
          <w:sz w:val="21"/>
          <w:szCs w:val="21"/>
        </w:rPr>
        <w:t xml:space="preserve">Este cuaderno no reemplaza al libro: lo acompaña. Contiene mapas, reconstrucciones argumentales, glosario y preguntas guía redactadas para orientar la lectura del volumen original. Todo el contenido aquí es reformulación propia; los textos de Adorno se leen en el libro.</w:t>
      </w:r>
    </w:p>
    <w:p>
      <w:pPr>
        <w:spacing w:before="400"/>
      </w:pPr>
      <w:r>
        <w:rPr>
          <w:rFonts w:ascii="Cambria" w:cs="Cambria" w:eastAsia="Cambria" w:hAnsi="Cambria"/>
          <w:b/>
          <w:bCs/>
          <w:sz w:val="21"/>
          <w:szCs w:val="21"/>
        </w:rPr>
        <w:t xml:space="preserve">Ficha del volumen</w:t>
      </w:r>
    </w:p>
    <w:p>
      <w:pPr>
        <w:spacing w:after="100" w:line="260"/>
      </w:pPr>
      <w:r>
        <w:rPr>
          <w:rFonts w:ascii="Cambria" w:cs="Cambria" w:eastAsia="Cambria" w:hAnsi="Cambria"/>
          <w:i/>
          <w:iCs/>
          <w:sz w:val="18"/>
          <w:szCs w:val="18"/>
        </w:rPr>
        <w:t xml:space="preserve">Theodor W. Adorno, Epistemología y ciencias sociales. Traducción de Vicente Gómez. Madrid, Cátedra / Universitat de València, colección Frónesis, 2001. Compilación de siete textos procedentes de los Gesammelte Schriften, vols. 8 y 9-2 (Suhrkamp, 1972 y 1975).</w:t>
      </w:r>
    </w:p>
    <w:p>
      <w:pPr>
        <w:spacing w:before="300"/>
      </w:pPr>
      <w:r>
        <w:rPr>
          <w:rFonts w:ascii="Cambria" w:cs="Cambria" w:eastAsia="Cambria" w:hAnsi="Cambria"/>
          <w:i/>
          <w:iCs/>
          <w:color w:val="555555"/>
          <w:sz w:val="19"/>
          <w:szCs w:val="19"/>
        </w:rPr>
        <w:t xml:space="preserve">Uso previsto: impresión a una cara, anotación manuscrita en márgenes, transferencia a fichas bibliográficas y al vault.</w:t>
      </w:r>
    </w:p>
    <w:p>
      <w:r>
        <w:br w:type="page"/>
      </w:r>
    </w:p>
    <w:p>
      <w:pPr>
        <w:pStyle w:val="Heading1"/>
        <w:spacing w:after="180" w:before="360"/>
      </w:pPr>
      <w:r>
        <w:rPr>
          <w:rFonts w:ascii="Cambria" w:cs="Cambria" w:eastAsia="Cambria" w:hAnsi="Cambria"/>
          <w:b/>
          <w:bCs/>
          <w:sz w:val="32"/>
          <w:szCs w:val="32"/>
        </w:rPr>
        <w:t xml:space="preserve">0. Antes de empezar: dos advertencias</w:t>
      </w:r>
    </w:p>
    <w:p>
      <w:pPr>
        <w:pStyle w:val="Heading2"/>
        <w:spacing w:after="120" w:before="280"/>
      </w:pPr>
      <w:r>
        <w:rPr>
          <w:rFonts w:ascii="Cambria" w:cs="Cambria" w:eastAsia="Cambria" w:hAnsi="Cambria"/>
          <w:b/>
          <w:bCs/>
          <w:sz w:val="26"/>
          <w:szCs w:val="26"/>
        </w:rPr>
        <w:t xml:space="preserve">0.1 Adorno no es pensamiento complejo</w:t>
      </w:r>
    </w:p>
    <w:p>
      <w:pPr>
        <w:spacing w:after="120" w:line="300"/>
        <w:jc w:val="both"/>
      </w:pPr>
      <w:r>
        <w:rPr>
          <w:rFonts w:ascii="Cambria" w:cs="Cambria" w:eastAsia="Cambria" w:hAnsi="Cambria"/>
          <w:sz w:val="21"/>
          <w:szCs w:val="21"/>
        </w:rPr>
        <w:t xml:space="preserve">Si la unidad de aprendizaje se llama «pensamiento complejo», conviene verificar el programa antes de invertir semanas aquí. El pensamiento complejo, en el uso académico hispanoamericano corriente, remite a Edgar Morin: transdisciplinariedad, recursividad, principio dialógico, crítica al paradigma de simplificación.</w:t>
      </w:r>
    </w:p>
    <w:p>
      <w:pPr>
        <w:spacing w:after="120" w:line="300"/>
        <w:jc w:val="both"/>
      </w:pPr>
      <w:r>
        <w:rPr>
          <w:rFonts w:ascii="Cambria" w:cs="Cambria" w:eastAsia="Cambria" w:hAnsi="Cambria"/>
          <w:sz w:val="21"/>
          <w:szCs w:val="21"/>
        </w:rPr>
        <w:t xml:space="preserve">Adorno pertenece a otra genealogía: la dialéctica negativa de la Escuela de Fráncfort. Comparte con Morin el rechazo al reduccionismo positivista y la insistencia en que el todo no es la suma de las partes, pero llega ahí por la vía de Hegel y Marx, no por la de la cibernética y la teoría de sistemas.</w:t>
      </w:r>
    </w:p>
    <w:p>
      <w:pPr>
        <w:spacing w:after="120" w:line="300"/>
        <w:jc w:val="both"/>
      </w:pPr>
      <w:r>
        <w:rPr>
          <w:rFonts w:ascii="Cambria" w:cs="Cambria" w:eastAsia="Cambria" w:hAnsi="Cambria"/>
          <w:sz w:val="21"/>
          <w:szCs w:val="21"/>
        </w:rPr>
        <w:t xml:space="preserve">Hay puente, y es legítimo: ambos atacan la fragmentación del conocimiento y la ilusión de que el dato aislado basta. Pero si escribes un trabajo tratando a Adorno como si fuera Morin, un docente atento lo notará. La jugada correcta es explicitar la diferencia y usarla: Adorno como crítica anterior y más dura al mismo problema que Morin nombra después.</w:t>
      </w:r>
    </w:p>
    <w:p>
      <w:pPr>
        <w:spacing w:after="90" w:line="280"/>
        <w:ind w:left="360"/>
      </w:pPr>
      <w:r>
        <w:rPr>
          <w:rFonts w:ascii="Cambria" w:cs="Cambria" w:eastAsia="Cambria" w:hAnsi="Cambria"/>
          <w:sz w:val="20"/>
          <w:szCs w:val="20"/>
        </w:rPr>
        <w:t xml:space="preserve">▸  Verifica en tu programa: ¿el libro aparece en la bibliografía obligatoria, complementaria, o lo elegiste tú?</w:t>
      </w:r>
    </w:p>
    <w:p>
      <w:pPr>
        <w:spacing w:after="90" w:line="280"/>
        <w:ind w:left="360"/>
      </w:pPr>
      <w:r>
        <w:rPr>
          <w:rFonts w:ascii="Cambria" w:cs="Cambria" w:eastAsia="Cambria" w:hAnsi="Cambria"/>
          <w:sz w:val="20"/>
          <w:szCs w:val="20"/>
        </w:rPr>
        <w:t xml:space="preserve">▸  Si lo elegiste tú, tu trabajo necesita justificar la elección en el primer párrafo.</w:t>
      </w:r>
    </w:p>
    <w:p>
      <w:pPr>
        <w:pStyle w:val="Heading2"/>
        <w:spacing w:after="120" w:before="280"/>
      </w:pPr>
      <w:r>
        <w:rPr>
          <w:rFonts w:ascii="Cambria" w:cs="Cambria" w:eastAsia="Cambria" w:hAnsi="Cambria"/>
          <w:b/>
          <w:bCs/>
          <w:sz w:val="26"/>
          <w:szCs w:val="26"/>
        </w:rPr>
        <w:t xml:space="preserve">0.2 Advertencia sobre el ejemplar digital</w:t>
      </w:r>
    </w:p>
    <w:p>
      <w:pPr>
        <w:spacing w:after="120" w:line="300"/>
        <w:jc w:val="both"/>
      </w:pPr>
      <w:r>
        <w:rPr>
          <w:rFonts w:ascii="Cambria" w:cs="Cambria" w:eastAsia="Cambria" w:hAnsi="Cambria"/>
          <w:sz w:val="21"/>
          <w:szCs w:val="21"/>
        </w:rPr>
        <w:t xml:space="preserve">El archivo que tienes es un escaneo con reconocimiento óptico de caracteres. Eso significa errores de transcripción: palabras partidas, tildes perdidas, números de página incrustados en medio del texto, y ocasionalmente términos deformados. Ejemplos detectados: «empática» donde debe decir «empírica», «Ciencia de la lógica» con caracteres corruptos en las notas.</w:t>
      </w:r>
    </w:p>
    <w:p>
      <w:pPr>
        <w:spacing w:after="120" w:line="300"/>
        <w:jc w:val="both"/>
      </w:pPr>
      <w:r>
        <w:rPr>
          <w:rFonts w:ascii="Cambria" w:cs="Cambria" w:eastAsia="Cambria" w:hAnsi="Cambria"/>
          <w:sz w:val="21"/>
          <w:szCs w:val="21"/>
        </w:rPr>
        <w:t xml:space="preserve">Consecuencia práctica para tus fichas: no cites textualmente desde el archivo digital sin verificar contra un ejemplar confiable. Un error de OCR en una cita literal es un error tuyo ante el sínodo. Marca cada cita dudosa con un signo propio —sugerencia: un círculo en el margen— hasta poder cotejarla.</w:t>
      </w:r>
    </w:p>
    <w:p>
      <w:pPr>
        <w:pBdr>
          <w:bottom w:val="single" w:color="999999" w:sz="6" w:space="6"/>
        </w:pBdr>
        <w:spacing w:after="160" w:before="160"/>
      </w:pPr>
      <w:r>
        <w:t xml:space="preserve"/>
      </w:r>
    </w:p>
    <w:p>
      <w:pPr>
        <w:spacing w:after="100" w:line="260"/>
      </w:pPr>
      <w:r>
        <w:rPr>
          <w:rFonts w:ascii="Cambria" w:cs="Cambria" w:eastAsia="Cambria" w:hAnsi="Cambria"/>
          <w:i/>
          <w:iCs/>
          <w:sz w:val="18"/>
          <w:szCs w:val="18"/>
        </w:rPr>
        <w:t xml:space="preserve">Regla operativa: en este cuaderno, cita por número de página del volumen impreso (la paginación del escaneo coincide con la edición Cátedra).</w:t>
      </w:r>
    </w:p>
    <w:p>
      <w:r>
        <w:br w:type="page"/>
      </w:r>
    </w:p>
    <w:p>
      <w:pPr>
        <w:pStyle w:val="Heading1"/>
        <w:spacing w:after="180" w:before="360"/>
      </w:pPr>
      <w:r>
        <w:rPr>
          <w:rFonts w:ascii="Cambria" w:cs="Cambria" w:eastAsia="Cambria" w:hAnsi="Cambria"/>
          <w:b/>
          <w:bCs/>
          <w:sz w:val="32"/>
          <w:szCs w:val="32"/>
        </w:rPr>
        <w:t xml:space="preserve">1. Mapa del volumen</w:t>
      </w:r>
    </w:p>
    <w:p>
      <w:pPr>
        <w:spacing w:after="120" w:line="300"/>
        <w:jc w:val="both"/>
      </w:pPr>
      <w:r>
        <w:rPr>
          <w:rFonts w:ascii="Cambria" w:cs="Cambria" w:eastAsia="Cambria" w:hAnsi="Cambria"/>
          <w:sz w:val="21"/>
          <w:szCs w:val="21"/>
        </w:rPr>
        <w:t xml:space="preserve">Siete textos escritos entre 1952 y 1965. No es un libro unitario sino una compilación temática: todos giran alrededor de un mismo conflicto, la relación entre teoría de la sociedad e investigación social empírica. Leerlos en orden de publicación revela cómo Adorno endurece su posición con los años.</w:t>
      </w:r>
    </w:p>
    <w:p>
      <w:pPr>
        <w:pStyle w:val="Heading2"/>
        <w:spacing w:after="120" w:before="280"/>
      </w:pPr>
      <w:r>
        <w:rPr>
          <w:rFonts w:ascii="Cambria" w:cs="Cambria" w:eastAsia="Cambria" w:hAnsi="Cambria"/>
          <w:b/>
          <w:bCs/>
          <w:sz w:val="26"/>
          <w:szCs w:val="26"/>
        </w:rPr>
        <w:t xml:space="preserve">Índice comentado</w:t>
      </w:r>
    </w:p>
    <w:p>
      <w:pPr>
        <w:pStyle w:val="Heading3"/>
        <w:spacing w:after="80" w:before="200"/>
      </w:pPr>
      <w:r>
        <w:rPr>
          <w:rFonts w:ascii="Cambria" w:cs="Cambria" w:eastAsia="Cambria" w:hAnsi="Cambria"/>
          <w:b/>
          <w:bCs/>
          <w:i/>
          <w:iCs/>
          <w:sz w:val="23"/>
          <w:szCs w:val="23"/>
        </w:rPr>
        <w:t xml:space="preserve">1. Sociedad (1965) — p. 9</w:t>
      </w:r>
    </w:p>
    <w:p>
      <w:pPr>
        <w:spacing w:after="120" w:line="300"/>
        <w:jc w:val="both"/>
      </w:pPr>
      <w:r>
        <w:rPr>
          <w:rFonts w:ascii="Cambria" w:cs="Cambria" w:eastAsia="Cambria" w:hAnsi="Cambria"/>
          <w:sz w:val="21"/>
          <w:szCs w:val="21"/>
        </w:rPr>
        <w:t xml:space="preserve">El texto más breve y más denso. Es una entrada de diccionario que se rebela contra el género: sostiene que «sociedad» no admite definición porque la sociedad es proceso, no cosa. Contiene en germen todo lo demás. Si solo pudieras leer veinte páginas del libro, serían estas.</w:t>
      </w:r>
    </w:p>
    <w:p>
      <w:pPr>
        <w:pStyle w:val="Heading3"/>
        <w:spacing w:after="80" w:before="200"/>
      </w:pPr>
      <w:r>
        <w:rPr>
          <w:rFonts w:ascii="Cambria" w:cs="Cambria" w:eastAsia="Cambria" w:hAnsi="Cambria"/>
          <w:b/>
          <w:bCs/>
          <w:i/>
          <w:iCs/>
          <w:sz w:val="23"/>
          <w:szCs w:val="23"/>
        </w:rPr>
        <w:t xml:space="preserve">2. Sociología e investigación empírica (1957) — p. 19</w:t>
      </w:r>
    </w:p>
    <w:p>
      <w:pPr>
        <w:spacing w:after="120" w:line="300"/>
        <w:jc w:val="both"/>
      </w:pPr>
      <w:r>
        <w:rPr>
          <w:rFonts w:ascii="Cambria" w:cs="Cambria" w:eastAsia="Cambria" w:hAnsi="Cambria"/>
          <w:sz w:val="21"/>
          <w:szCs w:val="21"/>
        </w:rPr>
        <w:t xml:space="preserve">El texto central del volumen y el más largo de la primera mitad. Siete secciones numeradas. Es aquí donde desarrolla la crítica metodológica completa: por qué la encuesta produce objetividad de método y no objetividad de objeto, por qué la definición operacional es un círculo vicioso, y por qué teoría y empiría no se funden en un continuo.</w:t>
      </w:r>
    </w:p>
    <w:p>
      <w:pPr>
        <w:pStyle w:val="Heading3"/>
        <w:spacing w:after="80" w:before="200"/>
      </w:pPr>
      <w:r>
        <w:rPr>
          <w:rFonts w:ascii="Cambria" w:cs="Cambria" w:eastAsia="Cambria" w:hAnsi="Cambria"/>
          <w:b/>
          <w:bCs/>
          <w:i/>
          <w:iCs/>
          <w:sz w:val="23"/>
          <w:szCs w:val="23"/>
        </w:rPr>
        <w:t xml:space="preserve">3. Sobre la objetividad en ciencias sociales (1965) — p. 37</w:t>
      </w:r>
    </w:p>
    <w:p>
      <w:pPr>
        <w:spacing w:after="120" w:line="300"/>
        <w:jc w:val="both"/>
      </w:pPr>
      <w:r>
        <w:rPr>
          <w:rFonts w:ascii="Cambria" w:cs="Cambria" w:eastAsia="Cambria" w:hAnsi="Cambria"/>
          <w:sz w:val="21"/>
          <w:szCs w:val="21"/>
        </w:rPr>
        <w:t xml:space="preserve">Lectura crítica de Durkheim y de Hegel. Rescata a Durkheim frente al subjetivismo y al mismo tiempo lo acusa de convertir la opacidad de la sociedad en precepto metodológico. Texto difícil; requiere manejar mínimamente la distinción universal/particular.</w:t>
      </w:r>
    </w:p>
    <w:p>
      <w:pPr>
        <w:pStyle w:val="Heading3"/>
        <w:spacing w:after="80" w:before="200"/>
      </w:pPr>
      <w:r>
        <w:rPr>
          <w:rFonts w:ascii="Cambria" w:cs="Cambria" w:eastAsia="Cambria" w:hAnsi="Cambria"/>
          <w:b/>
          <w:bCs/>
          <w:i/>
          <w:iCs/>
          <w:sz w:val="23"/>
          <w:szCs w:val="23"/>
        </w:rPr>
        <w:t xml:space="preserve">4. Sobre la situación actual de la investigación social empírica en Alemania (1952) — p. 45</w:t>
      </w:r>
    </w:p>
    <w:p>
      <w:pPr>
        <w:spacing w:after="120" w:line="300"/>
        <w:jc w:val="both"/>
      </w:pPr>
      <w:r>
        <w:rPr>
          <w:rFonts w:ascii="Cambria" w:cs="Cambria" w:eastAsia="Cambria" w:hAnsi="Cambria"/>
          <w:sz w:val="21"/>
          <w:szCs w:val="21"/>
        </w:rPr>
        <w:t xml:space="preserve">El más accesible de todos. Es una conferencia, y se nota: tono expositivo, ejemplos concretos (el campesino que dice quedarse por amor a la tierra, el estudio sobre prejuicios en niños), argumentación lineal. Empieza por aquí si el resto se te atora.</w:t>
      </w:r>
    </w:p>
    <w:p>
      <w:pPr>
        <w:pStyle w:val="Heading3"/>
        <w:spacing w:after="80" w:before="200"/>
      </w:pPr>
      <w:r>
        <w:rPr>
          <w:rFonts w:ascii="Cambria" w:cs="Cambria" w:eastAsia="Cambria" w:hAnsi="Cambria"/>
          <w:b/>
          <w:bCs/>
          <w:i/>
          <w:iCs/>
          <w:sz w:val="23"/>
          <w:szCs w:val="23"/>
        </w:rPr>
        <w:t xml:space="preserve">5. Trabajo en equipo e investigación social — p. 59</w:t>
      </w:r>
    </w:p>
    <w:p>
      <w:pPr>
        <w:spacing w:after="120" w:line="300"/>
        <w:jc w:val="both"/>
      </w:pPr>
      <w:r>
        <w:rPr>
          <w:rFonts w:ascii="Cambria" w:cs="Cambria" w:eastAsia="Cambria" w:hAnsi="Cambria"/>
          <w:sz w:val="21"/>
          <w:szCs w:val="21"/>
        </w:rPr>
        <w:t xml:space="preserve">Sobre el carácter colectivo de la investigación y sus efectos sobre el conocimiento. Menos citado, pero directamente aplicable si alguna vez trabajas en equipos de investigación institucional.</w:t>
      </w:r>
    </w:p>
    <w:p>
      <w:pPr>
        <w:pStyle w:val="Heading3"/>
        <w:spacing w:after="80" w:before="200"/>
      </w:pPr>
      <w:r>
        <w:rPr>
          <w:rFonts w:ascii="Cambria" w:cs="Cambria" w:eastAsia="Cambria" w:hAnsi="Cambria"/>
          <w:b/>
          <w:bCs/>
          <w:i/>
          <w:iCs/>
          <w:sz w:val="23"/>
          <w:szCs w:val="23"/>
        </w:rPr>
        <w:t xml:space="preserve">6. Sobre el estadio actual de la sociología alemana — p. 65</w:t>
      </w:r>
    </w:p>
    <w:p>
      <w:pPr>
        <w:spacing w:after="120" w:line="300"/>
        <w:jc w:val="both"/>
      </w:pPr>
      <w:r>
        <w:rPr>
          <w:rFonts w:ascii="Cambria" w:cs="Cambria" w:eastAsia="Cambria" w:hAnsi="Cambria"/>
          <w:sz w:val="21"/>
          <w:szCs w:val="21"/>
        </w:rPr>
        <w:t xml:space="preserve">Panorama disciplinar. Útil como contexto histórico, prescindible si vas contra reloj.</w:t>
      </w:r>
    </w:p>
    <w:p>
      <w:pPr>
        <w:pStyle w:val="Heading3"/>
        <w:spacing w:after="80" w:before="200"/>
      </w:pPr>
      <w:r>
        <w:rPr>
          <w:rFonts w:ascii="Cambria" w:cs="Cambria" w:eastAsia="Cambria" w:hAnsi="Cambria"/>
          <w:b/>
          <w:bCs/>
          <w:i/>
          <w:iCs/>
          <w:sz w:val="23"/>
          <w:szCs w:val="23"/>
        </w:rPr>
        <w:t xml:space="preserve">7. Teoría de la sociedad e investigación empírica — p. 93</w:t>
      </w:r>
    </w:p>
    <w:p>
      <w:pPr>
        <w:pStyle w:val="Heading3"/>
        <w:spacing w:after="80" w:before="200"/>
      </w:pPr>
      <w:r>
        <w:rPr>
          <w:rFonts w:ascii="Cambria" w:cs="Cambria" w:eastAsia="Cambria" w:hAnsi="Cambria"/>
          <w:b/>
          <w:bCs/>
          <w:i/>
          <w:iCs/>
          <w:sz w:val="23"/>
          <w:szCs w:val="23"/>
        </w:rPr>
        <w:t xml:space="preserve">8. Investigación social empírica — p. 101</w:t>
      </w:r>
    </w:p>
    <w:p>
      <w:pPr>
        <w:spacing w:after="120" w:line="300"/>
        <w:jc w:val="both"/>
      </w:pPr>
      <w:r>
        <w:rPr>
          <w:rFonts w:ascii="Cambria" w:cs="Cambria" w:eastAsia="Cambria" w:hAnsi="Cambria"/>
          <w:sz w:val="21"/>
          <w:szCs w:val="21"/>
        </w:rPr>
        <w:t xml:space="preserve">Textos breves de cierre que retoman y condensan la tesis central.</w:t>
      </w:r>
    </w:p>
    <w:p>
      <w:pPr>
        <w:pBdr>
          <w:bottom w:val="single" w:color="999999" w:sz="6" w:space="6"/>
        </w:pBdr>
        <w:spacing w:after="160" w:before="160"/>
      </w:pPr>
      <w:r>
        <w:t xml:space="preserve"/>
      </w:r>
    </w:p>
    <w:p>
      <w:pPr>
        <w:pStyle w:val="Heading2"/>
        <w:spacing w:after="120" w:before="280"/>
      </w:pPr>
      <w:r>
        <w:rPr>
          <w:rFonts w:ascii="Cambria" w:cs="Cambria" w:eastAsia="Cambria" w:hAnsi="Cambria"/>
          <w:b/>
          <w:bCs/>
          <w:sz w:val="26"/>
          <w:szCs w:val="26"/>
        </w:rPr>
        <w:t xml:space="preserve">Ruta de lectura recomendada</w:t>
      </w:r>
    </w:p>
    <w:p>
      <w:pPr>
        <w:spacing w:after="120" w:line="300"/>
        <w:jc w:val="both"/>
      </w:pPr>
      <w:r>
        <w:rPr>
          <w:rFonts w:ascii="Cambria" w:cs="Cambria" w:eastAsia="Cambria" w:hAnsi="Cambria"/>
          <w:sz w:val="21"/>
          <w:szCs w:val="21"/>
        </w:rPr>
        <w:t xml:space="preserve">No leas en orden de índice. Lee en orden de dificultad creciente:</w:t>
      </w:r>
    </w:p>
    <w:p>
      <w:pPr>
        <w:pStyle w:val="ListParagraph"/>
        <w:numPr>
          <w:ilvl w:val="0"/>
          <w:numId w:val="2"/>
        </w:numPr>
        <w:spacing w:after="80" w:line="280"/>
      </w:pPr>
      <w:r>
        <w:rPr>
          <w:rFonts w:ascii="Cambria" w:cs="Cambria" w:eastAsia="Cambria" w:hAnsi="Cambria"/>
          <w:sz w:val="21"/>
          <w:szCs w:val="21"/>
        </w:rPr>
        <w:t xml:space="preserve">Texto 4 (p. 45) — la conferencia. Te da el problema con ejemplos.</w:t>
      </w:r>
    </w:p>
    <w:p>
      <w:pPr>
        <w:pStyle w:val="ListParagraph"/>
        <w:numPr>
          <w:ilvl w:val="0"/>
          <w:numId w:val="2"/>
        </w:numPr>
        <w:spacing w:after="80" w:line="280"/>
      </w:pPr>
      <w:r>
        <w:rPr>
          <w:rFonts w:ascii="Cambria" w:cs="Cambria" w:eastAsia="Cambria" w:hAnsi="Cambria"/>
          <w:sz w:val="21"/>
          <w:szCs w:val="21"/>
        </w:rPr>
        <w:t xml:space="preserve">Texto 1 (p. 9) — «Sociedad». Ahora ya sabes qué está en juego.</w:t>
      </w:r>
    </w:p>
    <w:p>
      <w:pPr>
        <w:pStyle w:val="ListParagraph"/>
        <w:numPr>
          <w:ilvl w:val="0"/>
          <w:numId w:val="2"/>
        </w:numPr>
        <w:spacing w:after="80" w:line="280"/>
      </w:pPr>
      <w:r>
        <w:rPr>
          <w:rFonts w:ascii="Cambria" w:cs="Cambria" w:eastAsia="Cambria" w:hAnsi="Cambria"/>
          <w:sz w:val="21"/>
          <w:szCs w:val="21"/>
        </w:rPr>
        <w:t xml:space="preserve">Texto 2 (p. 19) — el núcleo. Léelo dos veces, la segunda con fichas en mano.</w:t>
      </w:r>
    </w:p>
    <w:p>
      <w:pPr>
        <w:pStyle w:val="ListParagraph"/>
        <w:numPr>
          <w:ilvl w:val="0"/>
          <w:numId w:val="2"/>
        </w:numPr>
        <w:spacing w:after="80" w:line="280"/>
      </w:pPr>
      <w:r>
        <w:rPr>
          <w:rFonts w:ascii="Cambria" w:cs="Cambria" w:eastAsia="Cambria" w:hAnsi="Cambria"/>
          <w:sz w:val="21"/>
          <w:szCs w:val="21"/>
        </w:rPr>
        <w:t xml:space="preserve">Texto 3 (p. 37) — Durkheim y Hegel. Solo cuando los tres anteriores estén asentados.</w:t>
      </w:r>
    </w:p>
    <w:p>
      <w:pPr>
        <w:pStyle w:val="ListParagraph"/>
        <w:numPr>
          <w:ilvl w:val="0"/>
          <w:numId w:val="2"/>
        </w:numPr>
        <w:spacing w:after="80" w:line="280"/>
      </w:pPr>
      <w:r>
        <w:rPr>
          <w:rFonts w:ascii="Cambria" w:cs="Cambria" w:eastAsia="Cambria" w:hAnsi="Cambria"/>
          <w:sz w:val="21"/>
          <w:szCs w:val="21"/>
        </w:rPr>
        <w:t xml:space="preserve">Textos 5 a 8 — barrido rápido, buscando confirmaciones y matices.</w:t>
      </w:r>
    </w:p>
    <w:p>
      <w:r>
        <w:br w:type="page"/>
      </w:r>
    </w:p>
    <w:p>
      <w:pPr>
        <w:pStyle w:val="Heading1"/>
        <w:spacing w:after="180" w:before="360"/>
      </w:pPr>
      <w:r>
        <w:rPr>
          <w:rFonts w:ascii="Cambria" w:cs="Cambria" w:eastAsia="Cambria" w:hAnsi="Cambria"/>
          <w:b/>
          <w:bCs/>
          <w:sz w:val="32"/>
          <w:szCs w:val="32"/>
        </w:rPr>
        <w:t xml:space="preserve">2. Núcleo argumental: siete tesis</w:t>
      </w:r>
    </w:p>
    <w:p>
      <w:pPr>
        <w:spacing w:after="120" w:line="300"/>
        <w:jc w:val="both"/>
      </w:pPr>
      <w:r>
        <w:rPr>
          <w:rFonts w:ascii="Cambria" w:cs="Cambria" w:eastAsia="Cambria" w:hAnsi="Cambria"/>
          <w:sz w:val="21"/>
          <w:szCs w:val="21"/>
        </w:rPr>
        <w:t xml:space="preserve">Lo que sigue es una reconstrucción propia del argumento. Cada tesis viene con la referencia de página donde buscarla, una reformulación en lenguaje directo, y preguntas para anotar al margen. No sustituye la lectura: te dice dónde detenerte.</w:t>
      </w:r>
    </w:p>
    <w:p>
      <w:pPr>
        <w:pStyle w:val="Heading2"/>
        <w:spacing w:after="120" w:before="280"/>
      </w:pPr>
      <w:r>
        <w:rPr>
          <w:rFonts w:ascii="Cambria" w:cs="Cambria" w:eastAsia="Cambria" w:hAnsi="Cambria"/>
          <w:b/>
          <w:bCs/>
          <w:sz w:val="26"/>
          <w:szCs w:val="26"/>
        </w:rPr>
        <w:t xml:space="preserve">Tesis 1 — La sociedad no se define, se despliega</w:t>
      </w:r>
    </w:p>
    <w:p>
      <w:pPr>
        <w:spacing w:after="100" w:line="260"/>
      </w:pPr>
      <w:r>
        <w:rPr>
          <w:rFonts w:ascii="Cambria" w:cs="Cambria" w:eastAsia="Cambria" w:hAnsi="Cambria"/>
          <w:i/>
          <w:iCs/>
          <w:sz w:val="18"/>
          <w:szCs w:val="18"/>
        </w:rPr>
        <w:t xml:space="preserve">Texto 1, pp. 9–11</w:t>
      </w:r>
    </w:p>
    <w:p>
      <w:pPr>
        <w:spacing w:after="120" w:line="300"/>
        <w:jc w:val="both"/>
      </w:pPr>
      <w:r>
        <w:rPr>
          <w:rFonts w:ascii="Cambria" w:cs="Cambria" w:eastAsia="Cambria" w:hAnsi="Cambria"/>
          <w:sz w:val="21"/>
          <w:szCs w:val="21"/>
        </w:rPr>
        <w:t xml:space="preserve">Adorno abre negando la posibilidad de definir «sociedad». Toda definición la trataría como categoría clasificatoria —el género más amplio bajo el que caben los grupos menores— y eso falsea el objeto. La sociedad no es la suma de los seres humanos que la componen; es la preponderancia de las circunstancias sobre esos seres humanos.</w:t>
      </w:r>
    </w:p>
    <w:p>
      <w:pPr>
        <w:spacing w:after="120" w:line="300"/>
        <w:jc w:val="both"/>
      </w:pPr>
      <w:r>
        <w:rPr>
          <w:rFonts w:ascii="Cambria" w:cs="Cambria" w:eastAsia="Cambria" w:hAnsi="Cambria"/>
          <w:sz w:val="21"/>
          <w:szCs w:val="21"/>
        </w:rPr>
        <w:t xml:space="preserve">El concepto es funcional, no clasificatorio: designa una red de dependencias recíprocas donde el todo se sostiene por las funciones que cumplen las partes. Por eso no puede verificarse directamente como una ley física. Y por eso el positivismo quiere expulsarlo de la ciencia como resto metafísico.</w:t>
      </w:r>
    </w:p>
    <w:p>
      <w:pPr>
        <w:spacing w:after="120" w:line="300"/>
        <w:jc w:val="both"/>
      </w:pPr>
      <w:r>
        <w:rPr>
          <w:rFonts w:ascii="Cambria" w:cs="Cambria" w:eastAsia="Cambria" w:hAnsi="Cambria"/>
          <w:sz w:val="21"/>
          <w:szCs w:val="21"/>
        </w:rPr>
        <w:t xml:space="preserve">Su contraargumento es demoledor: aunque la sociedad no pueda obtenerse por abstracción de hechos particulares, no existe hecho social que no esté determinado por ella.</w:t>
      </w:r>
    </w:p>
    <w:p>
      <w:pPr>
        <w:spacing w:after="90" w:line="280"/>
        <w:ind w:left="360"/>
      </w:pPr>
      <w:r>
        <w:rPr>
          <w:rFonts w:ascii="Cambria" w:cs="Cambria" w:eastAsia="Cambria" w:hAnsi="Cambria"/>
          <w:sz w:val="20"/>
          <w:szCs w:val="20"/>
        </w:rPr>
        <w:t xml:space="preserve">▸  ¿Qué conceptos de RRII operan igual —designan una relación, no una cosa observable? Soberanía. Hegemonía. Sistema internacional.</w:t>
      </w:r>
    </w:p>
    <w:p>
      <w:pPr>
        <w:spacing w:after="90" w:line="280"/>
        <w:ind w:left="360"/>
      </w:pPr>
      <w:r>
        <w:rPr>
          <w:rFonts w:ascii="Cambria" w:cs="Cambria" w:eastAsia="Cambria" w:hAnsi="Cambria"/>
          <w:sz w:val="20"/>
          <w:szCs w:val="20"/>
        </w:rPr>
        <w:t xml:space="preserve">▸  ¿Podrías «verificar» la soberanía con una encuesta? ¿Qué te dice eso del método?</w:t>
      </w:r>
    </w:p>
    <w:p>
      <w:pPr>
        <w:pStyle w:val="Heading2"/>
        <w:spacing w:after="120" w:before="280"/>
      </w:pPr>
      <w:r>
        <w:rPr>
          <w:rFonts w:ascii="Cambria" w:cs="Cambria" w:eastAsia="Cambria" w:hAnsi="Cambria"/>
          <w:b/>
          <w:bCs/>
          <w:sz w:val="26"/>
          <w:szCs w:val="26"/>
        </w:rPr>
        <w:t xml:space="preserve">Tesis 2 — El conflicto particular enmascara el antagonismo estructural</w:t>
      </w:r>
    </w:p>
    <w:p>
      <w:pPr>
        <w:spacing w:after="100" w:line="260"/>
      </w:pPr>
      <w:r>
        <w:rPr>
          <w:rFonts w:ascii="Cambria" w:cs="Cambria" w:eastAsia="Cambria" w:hAnsi="Cambria"/>
          <w:i/>
          <w:iCs/>
          <w:sz w:val="18"/>
          <w:szCs w:val="18"/>
        </w:rPr>
        <w:t xml:space="preserve">Texto 1, pp. 10–11</w:t>
      </w:r>
    </w:p>
    <w:p>
      <w:pPr>
        <w:spacing w:after="120" w:line="300"/>
        <w:jc w:val="both"/>
      </w:pPr>
      <w:r>
        <w:rPr>
          <w:rFonts w:ascii="Cambria" w:cs="Cambria" w:eastAsia="Cambria" w:hAnsi="Cambria"/>
          <w:sz w:val="21"/>
          <w:szCs w:val="21"/>
        </w:rPr>
        <w:t xml:space="preserve">Su ejemplo es la paz salarial en una empresa. Parece explicarse por las condiciones de esa empresa y ese sector. Pero depende del ordenamiento salarial general, del juego de fuerzas del que ese ordenamiento es resultante, y en última instancia de quién posee el aparato productivo.</w:t>
      </w:r>
    </w:p>
    <w:p>
      <w:pPr>
        <w:spacing w:after="120" w:line="300"/>
        <w:jc w:val="both"/>
      </w:pPr>
      <w:r>
        <w:rPr>
          <w:rFonts w:ascii="Cambria" w:cs="Cambria" w:eastAsia="Cambria" w:hAnsi="Cambria"/>
          <w:sz w:val="21"/>
          <w:szCs w:val="21"/>
        </w:rPr>
        <w:t xml:space="preserve">La regla que extrae: estudiar el conflicto en el lugar donde ocurre, sin remitirlo a la totalidad, es atribuir a la parte un valor que solo tiene dentro del todo.</w:t>
      </w:r>
    </w:p>
    <w:p>
      <w:pPr>
        <w:spacing w:after="90" w:line="280"/>
        <w:ind w:left="360"/>
      </w:pPr>
      <w:r>
        <w:rPr>
          <w:rFonts w:ascii="Cambria" w:cs="Cambria" w:eastAsia="Cambria" w:hAnsi="Cambria"/>
          <w:sz w:val="20"/>
          <w:szCs w:val="20"/>
        </w:rPr>
        <w:t xml:space="preserve">▸  Aplícalo a un caso guerrerense que conozcas de cerca. ¿Qué se explica localmente y qué no?</w:t>
      </w:r>
    </w:p>
    <w:p>
      <w:pPr>
        <w:spacing w:after="90" w:line="280"/>
        <w:ind w:left="360"/>
      </w:pPr>
      <w:r>
        <w:rPr>
          <w:rFonts w:ascii="Cambria" w:cs="Cambria" w:eastAsia="Cambria" w:hAnsi="Cambria"/>
          <w:sz w:val="20"/>
          <w:szCs w:val="20"/>
        </w:rPr>
        <w:t xml:space="preserve">▸  Cuidado con el uso perezoso de esta tesis: «todo está conectado con todo» es precisamente lo que Adorno llama abstracción mala. Ver Tesis 6.</w:t>
      </w:r>
    </w:p>
    <w:p>
      <w:pPr>
        <w:pStyle w:val="Heading2"/>
        <w:spacing w:after="120" w:before="280"/>
      </w:pPr>
      <w:r>
        <w:rPr>
          <w:rFonts w:ascii="Cambria" w:cs="Cambria" w:eastAsia="Cambria" w:hAnsi="Cambria"/>
          <w:b/>
          <w:bCs/>
          <w:sz w:val="26"/>
          <w:szCs w:val="26"/>
        </w:rPr>
        <w:t xml:space="preserve">Tesis 3 — La objetividad del método no es la objetividad del objeto</w:t>
      </w:r>
    </w:p>
    <w:p>
      <w:pPr>
        <w:spacing w:after="100" w:line="260"/>
      </w:pPr>
      <w:r>
        <w:rPr>
          <w:rFonts w:ascii="Cambria" w:cs="Cambria" w:eastAsia="Cambria" w:hAnsi="Cambria"/>
          <w:i/>
          <w:iCs/>
          <w:sz w:val="18"/>
          <w:szCs w:val="18"/>
        </w:rPr>
        <w:t xml:space="preserve">Texto 2, pp. 21–23</w:t>
      </w:r>
    </w:p>
    <w:p>
      <w:pPr>
        <w:spacing w:after="120" w:line="300"/>
        <w:jc w:val="both"/>
      </w:pPr>
      <w:r>
        <w:rPr>
          <w:rFonts w:ascii="Cambria" w:cs="Cambria" w:eastAsia="Cambria" w:hAnsi="Cambria"/>
          <w:sz w:val="21"/>
          <w:szCs w:val="21"/>
        </w:rPr>
        <w:t xml:space="preserve">Esta es la tesis más citable y la más útil para tu formación metodológica. Los métodos empíricos deben su prestigio a su pretensión de objetividad. Pero lo que producen son enunciados objetivos sobre sujetos: sobre cómo la gente ve la realidad y se ve a sí misma.</w:t>
      </w:r>
    </w:p>
    <w:p>
      <w:pPr>
        <w:spacing w:after="120" w:line="300"/>
        <w:jc w:val="both"/>
      </w:pPr>
      <w:r>
        <w:rPr>
          <w:rFonts w:ascii="Cambria" w:cs="Cambria" w:eastAsia="Cambria" w:hAnsi="Cambria"/>
          <w:sz w:val="21"/>
          <w:szCs w:val="21"/>
        </w:rPr>
        <w:t xml:space="preserve">La objetividad social —el conjunto de instituciones, relaciones y fuerzas dentro del cual la gente actúa— queda fuera de alcance del cuestionario, o entra solo como accidente. El promedio estadístico es rigurosamente válido y al mismo tiempo puede no decir nada sobre la estructura.</w:t>
      </w:r>
    </w:p>
    <w:p>
      <w:pPr>
        <w:spacing w:after="120" w:line="300"/>
        <w:jc w:val="both"/>
      </w:pPr>
      <w:r>
        <w:rPr>
          <w:rFonts w:ascii="Cambria" w:cs="Cambria" w:eastAsia="Cambria" w:hAnsi="Cambria"/>
          <w:sz w:val="21"/>
          <w:szCs w:val="21"/>
        </w:rPr>
        <w:t xml:space="preserve">Adorno agrega un giro incómodo: subyace a estos métodos la idea, tomada de las reglas del voto democrático y generalizada sin reflexión, de que la suma de los contenidos de conciencia de una población tiene carácter de clave para el proceso social. Todas las opiniones valen igual. Pero las opiniones no pesan igual en la realidad social.</w:t>
      </w:r>
    </w:p>
    <w:p>
      <w:pPr>
        <w:spacing w:after="90" w:line="280"/>
        <w:ind w:left="360"/>
      </w:pPr>
      <w:r>
        <w:rPr>
          <w:rFonts w:ascii="Cambria" w:cs="Cambria" w:eastAsia="Cambria" w:hAnsi="Cambria"/>
          <w:sz w:val="20"/>
          <w:szCs w:val="20"/>
        </w:rPr>
        <w:t xml:space="preserve">▸  Este es el argumento que necesitas si alguna vez cuestionas una encuesta de percepción. Fíchalo completo.</w:t>
      </w:r>
    </w:p>
    <w:p>
      <w:pPr>
        <w:spacing w:after="90" w:line="280"/>
        <w:ind w:left="360"/>
      </w:pPr>
      <w:r>
        <w:rPr>
          <w:rFonts w:ascii="Cambria" w:cs="Cambria" w:eastAsia="Cambria" w:hAnsi="Cambria"/>
          <w:sz w:val="20"/>
          <w:szCs w:val="20"/>
        </w:rPr>
        <w:t xml:space="preserve">▸  ¿Qué pasa cuando una institución mide su desempeño por percepción de los beneficiarios?</w:t>
      </w:r>
    </w:p>
    <w:p>
      <w:pPr>
        <w:pStyle w:val="Heading2"/>
        <w:spacing w:after="120" w:before="280"/>
      </w:pPr>
      <w:r>
        <w:rPr>
          <w:rFonts w:ascii="Cambria" w:cs="Cambria" w:eastAsia="Cambria" w:hAnsi="Cambria"/>
          <w:b/>
          <w:bCs/>
          <w:sz w:val="26"/>
          <w:szCs w:val="26"/>
        </w:rPr>
        <w:t xml:space="preserve">Tesis 4 — La definición operacional es un círculo vicioso</w:t>
      </w:r>
    </w:p>
    <w:p>
      <w:pPr>
        <w:spacing w:after="100" w:line="260"/>
      </w:pPr>
      <w:r>
        <w:rPr>
          <w:rFonts w:ascii="Cambria" w:cs="Cambria" w:eastAsia="Cambria" w:hAnsi="Cambria"/>
          <w:i/>
          <w:iCs/>
          <w:sz w:val="18"/>
          <w:szCs w:val="18"/>
        </w:rPr>
        <w:t xml:space="preserve">Texto 2, pp. 23–24</w:t>
      </w:r>
    </w:p>
    <w:p>
      <w:pPr>
        <w:spacing w:after="120" w:line="300"/>
        <w:jc w:val="both"/>
      </w:pPr>
      <w:r>
        <w:rPr>
          <w:rFonts w:ascii="Cambria" w:cs="Cambria" w:eastAsia="Cambria" w:hAnsi="Cambria"/>
          <w:sz w:val="21"/>
          <w:szCs w:val="21"/>
        </w:rPr>
        <w:t xml:space="preserve">Cuando una categoría como «conservadurismo» se define por las puntuaciones que arroja la propia encuesta, el instrumento decide de antemano qué es lo que se va a investigar. Se pretende estudiar un tema con una herramienta cuya formulación ya contiene la respuesta.</w:t>
      </w:r>
    </w:p>
    <w:p>
      <w:pPr>
        <w:spacing w:after="120" w:line="300"/>
        <w:jc w:val="both"/>
      </w:pPr>
      <w:r>
        <w:rPr>
          <w:rFonts w:ascii="Cambria" w:cs="Cambria" w:eastAsia="Cambria" w:hAnsi="Cambria"/>
          <w:sz w:val="21"/>
          <w:szCs w:val="21"/>
        </w:rPr>
        <w:t xml:space="preserve">De ahí una consecuencia que Adorno enuncia con dureza: en la práctica científica, la elección de temas termina rigiéndose por los procedimientos disponibles antes que por la importancia de lo investigado. El método selecciona el objeto. Eso explica la irrelevancia de una enorme cantidad de estudios empíricos.</w:t>
      </w:r>
    </w:p>
    <w:p>
      <w:pPr>
        <w:spacing w:after="90" w:line="280"/>
        <w:ind w:left="360"/>
      </w:pPr>
      <w:r>
        <w:rPr>
          <w:rFonts w:ascii="Cambria" w:cs="Cambria" w:eastAsia="Cambria" w:hAnsi="Cambria"/>
          <w:sz w:val="20"/>
          <w:szCs w:val="20"/>
        </w:rPr>
        <w:t xml:space="preserve">▸  Revisa tus propias UCAs: ¿alguna vez elegiste tema porque tenías el método a la mano?</w:t>
      </w:r>
    </w:p>
    <w:p>
      <w:pPr>
        <w:spacing w:after="90" w:line="280"/>
        <w:ind w:left="360"/>
      </w:pPr>
      <w:r>
        <w:rPr>
          <w:rFonts w:ascii="Cambria" w:cs="Cambria" w:eastAsia="Cambria" w:hAnsi="Cambria"/>
          <w:sz w:val="20"/>
          <w:szCs w:val="20"/>
        </w:rPr>
        <w:t xml:space="preserve">▸  Esta tesis es aplicable a los índices internacionales: gobernanza, riesgo país, libertad económica. ¿Quién define el indicador?</w:t>
      </w:r>
    </w:p>
    <w:p>
      <w:pPr>
        <w:pStyle w:val="Heading2"/>
        <w:spacing w:after="120" w:before="280"/>
      </w:pPr>
      <w:r>
        <w:rPr>
          <w:rFonts w:ascii="Cambria" w:cs="Cambria" w:eastAsia="Cambria" w:hAnsi="Cambria"/>
          <w:b/>
          <w:bCs/>
          <w:sz w:val="26"/>
          <w:szCs w:val="26"/>
        </w:rPr>
        <w:t xml:space="preserve">Tesis 5 — Hay que comprender la incomprensibilidad</w:t>
      </w:r>
    </w:p>
    <w:p>
      <w:pPr>
        <w:spacing w:after="100" w:line="260"/>
      </w:pPr>
      <w:r>
        <w:rPr>
          <w:rFonts w:ascii="Cambria" w:cs="Cambria" w:eastAsia="Cambria" w:hAnsi="Cambria"/>
          <w:i/>
          <w:iCs/>
          <w:sz w:val="18"/>
          <w:szCs w:val="18"/>
        </w:rPr>
        <w:t xml:space="preserve">Texto 1, p. 11; Texto 3, pp. 38–39</w:t>
      </w:r>
    </w:p>
    <w:p>
      <w:pPr>
        <w:spacing w:after="120" w:line="300"/>
        <w:jc w:val="both"/>
      </w:pPr>
      <w:r>
        <w:rPr>
          <w:rFonts w:ascii="Cambria" w:cs="Cambria" w:eastAsia="Cambria" w:hAnsi="Cambria"/>
          <w:sz w:val="21"/>
          <w:szCs w:val="21"/>
        </w:rPr>
        <w:t xml:space="preserve">Aquí sitúa su posición entre Weber y Durkheim, y rechaza a ambos. Weber quiso comprender la acción social; excluyó con ello todo lo que en la sociedad se resiste a ser identificado por el sujeto que comprende. Durkheim hizo lo contrario: tratar los hechos sociales como cosas, renunciando por principio a comprender.</w:t>
      </w:r>
    </w:p>
    <w:p>
      <w:pPr>
        <w:spacing w:after="120" w:line="300"/>
        <w:jc w:val="both"/>
      </w:pPr>
      <w:r>
        <w:rPr>
          <w:rFonts w:ascii="Cambria" w:cs="Cambria" w:eastAsia="Cambria" w:hAnsi="Cambria"/>
          <w:sz w:val="21"/>
          <w:szCs w:val="21"/>
        </w:rPr>
        <w:t xml:space="preserve">Adorno sostiene que Durkheim acertó al registrar que el individuo experimenta la sociedad primero como coacción, como algo no idéntico a él. Pero convirtió esa opacidad en precepto metodológico —«no debes comprender»— cuando lo que había que hacer era explicarla: deducir por qué una sociedad producida por seres humanos se les vuelve opaca.</w:t>
      </w:r>
    </w:p>
    <w:p>
      <w:pPr>
        <w:spacing w:after="120" w:line="300"/>
        <w:jc w:val="both"/>
      </w:pPr>
      <w:r>
        <w:rPr>
          <w:rFonts w:ascii="Cambria" w:cs="Cambria" w:eastAsia="Cambria" w:hAnsi="Cambria"/>
          <w:sz w:val="21"/>
          <w:szCs w:val="21"/>
        </w:rPr>
        <w:t xml:space="preserve">La fórmula que sintetiza el volumen entero: comprender la incomprensibilidad.</w:t>
      </w:r>
    </w:p>
    <w:p>
      <w:pPr>
        <w:spacing w:after="90" w:line="280"/>
        <w:ind w:left="360"/>
      </w:pPr>
      <w:r>
        <w:rPr>
          <w:rFonts w:ascii="Cambria" w:cs="Cambria" w:eastAsia="Cambria" w:hAnsi="Cambria"/>
          <w:sz w:val="20"/>
          <w:szCs w:val="20"/>
        </w:rPr>
        <w:t xml:space="preserve">▸  Esta es la frase para el epígrafe de un capítulo. Fíchala con página exacta.</w:t>
      </w:r>
    </w:p>
    <w:p>
      <w:pPr>
        <w:pStyle w:val="Heading2"/>
        <w:spacing w:after="120" w:before="280"/>
      </w:pPr>
      <w:r>
        <w:rPr>
          <w:rFonts w:ascii="Cambria" w:cs="Cambria" w:eastAsia="Cambria" w:hAnsi="Cambria"/>
          <w:b/>
          <w:bCs/>
          <w:sz w:val="26"/>
          <w:szCs w:val="26"/>
        </w:rPr>
        <w:t xml:space="preserve">Tesis 6 — «Todo está relacionado con todo» es abstracción mala</w:t>
      </w:r>
    </w:p>
    <w:p>
      <w:pPr>
        <w:spacing w:after="100" w:line="260"/>
      </w:pPr>
      <w:r>
        <w:rPr>
          <w:rFonts w:ascii="Cambria" w:cs="Cambria" w:eastAsia="Cambria" w:hAnsi="Cambria"/>
          <w:i/>
          <w:iCs/>
          <w:sz w:val="18"/>
          <w:szCs w:val="18"/>
        </w:rPr>
        <w:t xml:space="preserve">Texto 1, pp. 12–13</w:t>
      </w:r>
    </w:p>
    <w:p>
      <w:pPr>
        <w:spacing w:after="120" w:line="300"/>
        <w:jc w:val="both"/>
      </w:pPr>
      <w:r>
        <w:rPr>
          <w:rFonts w:ascii="Cambria" w:cs="Cambria" w:eastAsia="Cambria" w:hAnsi="Cambria"/>
          <w:sz w:val="21"/>
          <w:szCs w:val="21"/>
        </w:rPr>
        <w:t xml:space="preserve">Detalle crucial que casi todos los lectores apresurados se saltan. Adorno anticipa la lectura perezosa de su propia crítica y la rechaza: la concepción crítica de la sociedad debe dejar atrás la trivialidad de que todo se relaciona con todo.</w:t>
      </w:r>
    </w:p>
    <w:p>
      <w:pPr>
        <w:spacing w:after="120" w:line="300"/>
        <w:jc w:val="both"/>
      </w:pPr>
      <w:r>
        <w:rPr>
          <w:rFonts w:ascii="Cambria" w:cs="Cambria" w:eastAsia="Cambria" w:hAnsi="Cambria"/>
          <w:sz w:val="21"/>
          <w:szCs w:val="21"/>
        </w:rPr>
        <w:t xml:space="preserve">Y añade algo más profundo: esa abstracción mala no es solo flojera mental, es reflejo de una abstracción que la sociedad practica realmente. En el intercambio se hace abstracción de la cualidad de productores, consumidores y necesidades. La abstracción no está solo en la cabeza del sociólogo; está en el valor de cambio.</w:t>
      </w:r>
    </w:p>
    <w:p>
      <w:pPr>
        <w:spacing w:after="90" w:line="280"/>
        <w:ind w:left="360"/>
      </w:pPr>
      <w:r>
        <w:rPr>
          <w:rFonts w:ascii="Cambria" w:cs="Cambria" w:eastAsia="Cambria" w:hAnsi="Cambria"/>
          <w:sz w:val="20"/>
          <w:szCs w:val="20"/>
        </w:rPr>
        <w:t xml:space="preserve">▸  Guarda esta tesis como antídoto: te blinda contra escribir vaguedades holistas y creer que estás siendo crítico.</w:t>
      </w:r>
    </w:p>
    <w:p>
      <w:pPr>
        <w:pStyle w:val="Heading2"/>
        <w:spacing w:after="120" w:before="280"/>
      </w:pPr>
      <w:r>
        <w:rPr>
          <w:rFonts w:ascii="Cambria" w:cs="Cambria" w:eastAsia="Cambria" w:hAnsi="Cambria"/>
          <w:b/>
          <w:bCs/>
          <w:sz w:val="26"/>
          <w:szCs w:val="26"/>
        </w:rPr>
        <w:t xml:space="preserve">Tesis 7 — La teoría es ineludiblemente crítica</w:t>
      </w:r>
    </w:p>
    <w:p>
      <w:pPr>
        <w:spacing w:after="100" w:line="260"/>
      </w:pPr>
      <w:r>
        <w:rPr>
          <w:rFonts w:ascii="Cambria" w:cs="Cambria" w:eastAsia="Cambria" w:hAnsi="Cambria"/>
          <w:i/>
          <w:iCs/>
          <w:sz w:val="18"/>
          <w:szCs w:val="18"/>
        </w:rPr>
        <w:t xml:space="preserve">Texto 2, pp. 19–20</w:t>
      </w:r>
    </w:p>
    <w:p>
      <w:pPr>
        <w:spacing w:after="120" w:line="300"/>
        <w:jc w:val="both"/>
      </w:pPr>
      <w:r>
        <w:rPr>
          <w:rFonts w:ascii="Cambria" w:cs="Cambria" w:eastAsia="Cambria" w:hAnsi="Cambria"/>
          <w:sz w:val="21"/>
          <w:szCs w:val="21"/>
        </w:rPr>
        <w:t xml:space="preserve">La teoría de la sociedad procede de la filosofía y hereda su desconfianza hacia la fachada. Debe traer conceptos «desde fuera» y transformarlos en conceptos de la cosa misma, confrontando lo que el objeto pretende ser con lo que realmente es.</w:t>
      </w:r>
    </w:p>
    <w:p>
      <w:pPr>
        <w:spacing w:after="120" w:line="300"/>
        <w:jc w:val="both"/>
      </w:pPr>
      <w:r>
        <w:rPr>
          <w:rFonts w:ascii="Cambria" w:cs="Cambria" w:eastAsia="Cambria" w:hAnsi="Cambria"/>
          <w:sz w:val="21"/>
          <w:szCs w:val="21"/>
        </w:rPr>
        <w:t xml:space="preserve">Consecuencia metodológica fuerte: las hipótesis predictivas no le sientan bien. Lo predecible ya forma parte de la maquinaria social. Cuando la teoría se presenta como hipótesis verificable, cambia su constitución interna y paga el precio de nivelarse con el fenómeno que quería atravesar.</w:t>
      </w:r>
    </w:p>
    <w:p>
      <w:pPr>
        <w:spacing w:after="90" w:line="280"/>
        <w:ind w:left="360"/>
      </w:pPr>
      <w:r>
        <w:rPr>
          <w:rFonts w:ascii="Cambria" w:cs="Cambria" w:eastAsia="Cambria" w:hAnsi="Cambria"/>
          <w:sz w:val="20"/>
          <w:szCs w:val="20"/>
        </w:rPr>
        <w:t xml:space="preserve">▸  Tensión honesta: esto choca con casi todo protocolo de tesis institucional, que te va a pedir hipótesis. ¿Cómo lo resuelves sin traicionar ninguno de los dos?</w:t>
      </w:r>
    </w:p>
    <w:p>
      <w:r>
        <w:br w:type="page"/>
      </w:r>
    </w:p>
    <w:p>
      <w:pPr>
        <w:pStyle w:val="Heading1"/>
        <w:spacing w:after="180" w:before="360"/>
      </w:pPr>
      <w:r>
        <w:rPr>
          <w:rFonts w:ascii="Cambria" w:cs="Cambria" w:eastAsia="Cambria" w:hAnsi="Cambria"/>
          <w:b/>
          <w:bCs/>
          <w:sz w:val="32"/>
          <w:szCs w:val="32"/>
        </w:rPr>
        <w:t xml:space="preserve">3. Glosario de trabajo</w:t>
      </w:r>
    </w:p>
    <w:p>
      <w:pPr>
        <w:spacing w:after="120" w:line="300"/>
        <w:jc w:val="both"/>
      </w:pPr>
      <w:r>
        <w:rPr>
          <w:rFonts w:ascii="Cambria" w:cs="Cambria" w:eastAsia="Cambria" w:hAnsi="Cambria"/>
          <w:sz w:val="21"/>
          <w:szCs w:val="21"/>
        </w:rPr>
        <w:t xml:space="preserve">Doce términos que aparecen sin explicación y sin los cuales el texto no abre. Definiciones propias, orientadas al uso, no exhaustivas.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tcMar>
              <w:top w:type="dxa" w:w="80"/>
              <w:left w:type="dxa" w:w="120"/>
              <w:bottom w:type="dxa" w:w="80"/>
              <w:right w:type="dxa" w:w="120"/>
            </w:tcMar>
          </w:tcPr>
          <w:p>
            <w:r>
              <w:rPr>
                <w:rFonts w:ascii="Cambria" w:cs="Cambria" w:eastAsia="Cambria" w:hAnsi="Cambria"/>
                <w:b/>
                <w:bCs/>
                <w:sz w:val="20"/>
                <w:szCs w:val="20"/>
              </w:rPr>
              <w:t xml:space="preserve">Totalidad</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El conjunto social entendido como sistema de mediaciones, no como suma de partes ni como organismo. No es observable directamente; se diagnostica en lo particular pero no se demuestra a partir de ello.</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Mediación</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Lo que hace que ningún hecho social sea inmediato. Entre el dato y la realidad siempre se interpone la estructura. Tomar el detalle por lo más real, por su tangibilidad, produce ofuscación.</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Segunda naturaleza</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Expresión hegeliana que Adorno retoma: la sociedad producida por seres humanos que termina enfrentándolos como si fuera naturaleza, con leyes ajenas e inexorables.</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Cosificación</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Proceso por el cual relaciones sociales aparecen como propiedades de cosas. Adorno lo extiende al método: el instrumento cosificado presupone y refuerza una conciencia cosificada en los encuestados.</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Principio de cambio</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La ley del intercambio de equivalentes como forma que rige la sociedad. Es abstracta y a la vez realísima: reduce lo cualitativamente distinto a equivalencia.</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Carácter como máscara</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Categoría marxiana. El individuo actúa como portador de una función económica; su «personalidad» social es la máscara de ese rol. Adorno la usa para criticar el concepto sociológico de rol.</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Industria cultural</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Concepto suyo y de Horkheimer. Nace de la tendencia del capital a la explotación; empieza adaptándose al mercado y termina fijando y reforzando las formas de conciencia existentes.</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Ideología</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No un simple error ni una mentira deliberada, sino apariencia socialmente necesaria: conciencia falsa que forma parte de la realidad social y que por eso hay que conocer.</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Positivismo</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En su uso: la corriente que restringe el conocimiento a lo constatable, rechaza los conceptos no verificables como restos metafísicos y termina consagrando lo existente por el mero hecho de existir.</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Universal / particular</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El par que atraviesa el libro. En sociología no se asciende de lo particular a lo universal como del plomo observado al plomo en general, porque su relación es históricamente concreta y antagónica.</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Contrainte sociale</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Término de Durkheim: la coacción social. Adorno lo rescata porque nombra la experiencia primaria de la sociedad como algo no idéntico al individuo.</w:t>
            </w:r>
          </w:p>
        </w:tc>
      </w:tr>
      <w:tr>
        <w:tc>
          <w:tcPr>
            <w:tcW w:type="dxa" w:w="2600"/>
            <w:tcMar>
              <w:top w:type="dxa" w:w="80"/>
              <w:left w:type="dxa" w:w="120"/>
              <w:bottom w:type="dxa" w:w="80"/>
              <w:right w:type="dxa" w:w="120"/>
            </w:tcMar>
          </w:tcPr>
          <w:p>
            <w:r>
              <w:rPr>
                <w:rFonts w:ascii="Cambria" w:cs="Cambria" w:eastAsia="Cambria" w:hAnsi="Cambria"/>
                <w:b/>
                <w:bCs/>
                <w:sz w:val="20"/>
                <w:szCs w:val="20"/>
              </w:rPr>
              <w:t xml:space="preserve">Dialéctica negativa</w:t>
            </w:r>
          </w:p>
        </w:tc>
        <w:tc>
          <w:tcPr>
            <w:tcW w:type="dxa" w:w="6700"/>
            <w:tcMar>
              <w:top w:type="dxa" w:w="80"/>
              <w:left w:type="dxa" w:w="120"/>
              <w:bottom w:type="dxa" w:w="80"/>
              <w:right w:type="dxa" w:w="120"/>
            </w:tcMar>
          </w:tcPr>
          <w:p>
            <w:pPr>
              <w:spacing w:line="260"/>
            </w:pPr>
            <w:r>
              <w:rPr>
                <w:rFonts w:ascii="Cambria" w:cs="Cambria" w:eastAsia="Cambria" w:hAnsi="Cambria"/>
                <w:sz w:val="20"/>
                <w:szCs w:val="20"/>
              </w:rPr>
              <w:t xml:space="preserve">No nombrada así en este volumen pero operante en todo él: pensar las contradicciones sin resolverlas en una síntesis conciliadora. Lo que confiere unidad al mundo es precisamente la contradicción.</w:t>
            </w:r>
          </w:p>
        </w:tc>
      </w:tr>
    </w:tbl>
    <w:p>
      <w:r>
        <w:br w:type="page"/>
      </w:r>
    </w:p>
    <w:p>
      <w:pPr>
        <w:pStyle w:val="Heading1"/>
        <w:spacing w:after="180" w:before="360"/>
      </w:pPr>
      <w:r>
        <w:rPr>
          <w:rFonts w:ascii="Cambria" w:cs="Cambria" w:eastAsia="Cambria" w:hAnsi="Cambria"/>
          <w:b/>
          <w:bCs/>
          <w:sz w:val="32"/>
          <w:szCs w:val="32"/>
        </w:rPr>
        <w:t xml:space="preserve">4. Protocolo de fichado</w:t>
      </w:r>
    </w:p>
    <w:p>
      <w:pPr>
        <w:spacing w:after="120" w:line="300"/>
        <w:jc w:val="both"/>
      </w:pPr>
      <w:r>
        <w:rPr>
          <w:rFonts w:ascii="Cambria" w:cs="Cambria" w:eastAsia="Cambria" w:hAnsi="Cambria"/>
          <w:sz w:val="21"/>
          <w:szCs w:val="21"/>
        </w:rPr>
        <w:t xml:space="preserve">Este cuaderno está pensado para que subrayes sobre él y fiches desde el libro. La separación importa: aquí anotas tu proceso de comprensión; en las fichas registras el contenido citable.</w:t>
      </w:r>
    </w:p>
    <w:p>
      <w:pPr>
        <w:pStyle w:val="Heading2"/>
        <w:spacing w:after="120" w:before="280"/>
      </w:pPr>
      <w:r>
        <w:rPr>
          <w:rFonts w:ascii="Cambria" w:cs="Cambria" w:eastAsia="Cambria" w:hAnsi="Cambria"/>
          <w:b/>
          <w:bCs/>
          <w:sz w:val="26"/>
          <w:szCs w:val="26"/>
        </w:rPr>
        <w:t xml:space="preserve">4.1 Sistema de numeración</w:t>
      </w:r>
    </w:p>
    <w:p>
      <w:pPr>
        <w:spacing w:after="120" w:line="300"/>
        <w:jc w:val="both"/>
      </w:pPr>
      <w:r>
        <w:rPr>
          <w:rFonts w:ascii="Cambria" w:cs="Cambria" w:eastAsia="Cambria" w:hAnsi="Cambria"/>
          <w:sz w:val="21"/>
          <w:szCs w:val="21"/>
        </w:rPr>
        <w:t xml:space="preserve">Prefijo del autor y numeración corrida por tipo de ficha. Cada ficha lleva el código en la esquina superior derecha y el mismo código va en la nota correspondiente del vault, para que el enlace sea bidireccional.</w:t>
      </w:r>
    </w:p>
    <w:p>
      <w:pPr>
        <w:spacing w:after="90" w:line="260"/>
        <w:ind w:left="360"/>
      </w:pPr>
      <w:r>
        <w:rPr>
          <w:rFonts w:ascii="Consolas" w:cs="Consolas" w:eastAsia="Consolas" w:hAnsi="Consolas"/>
          <w:sz w:val="18"/>
          <w:szCs w:val="18"/>
        </w:rPr>
        <w:t xml:space="preserve">ADO-B-001    Ficha bibliográfica (una sola para todo el volumen)</w:t>
      </w:r>
    </w:p>
    <w:p>
      <w:pPr>
        <w:spacing w:after="90" w:line="260"/>
        <w:ind w:left="360"/>
      </w:pPr>
      <w:r>
        <w:rPr>
          <w:rFonts w:ascii="Consolas" w:cs="Consolas" w:eastAsia="Consolas" w:hAnsi="Consolas"/>
          <w:sz w:val="18"/>
          <w:szCs w:val="18"/>
        </w:rPr>
        <w:t xml:space="preserve">ADO-C-001    Ficha de contenido (una idea, una página exacta)</w:t>
      </w:r>
    </w:p>
    <w:p>
      <w:pPr>
        <w:spacing w:after="90" w:line="260"/>
        <w:ind w:left="360"/>
      </w:pPr>
      <w:r>
        <w:rPr>
          <w:rFonts w:ascii="Consolas" w:cs="Consolas" w:eastAsia="Consolas" w:hAnsi="Consolas"/>
          <w:sz w:val="18"/>
          <w:szCs w:val="18"/>
        </w:rPr>
        <w:t xml:space="preserve">ADO-P-001    Ficha personal / de comentario (tu pensamiento)</w:t>
      </w:r>
    </w:p>
    <w:p>
      <w:pPr>
        <w:spacing w:after="120" w:line="300"/>
        <w:jc w:val="both"/>
      </w:pPr>
      <w:r>
        <w:rPr>
          <w:rFonts w:ascii="Cambria" w:cs="Cambria" w:eastAsia="Cambria" w:hAnsi="Cambria"/>
          <w:sz w:val="21"/>
          <w:szCs w:val="21"/>
        </w:rPr>
        <w:t xml:space="preserve">La ficha bibliográfica se hace una vez y nunca se repite. Las de contenido son las que se multiplican. Las personales son las que hacen tuyo el trabajo.</w:t>
      </w:r>
    </w:p>
    <w:p>
      <w:pPr>
        <w:pStyle w:val="Heading2"/>
        <w:spacing w:after="120" w:before="280"/>
      </w:pPr>
      <w:r>
        <w:rPr>
          <w:rFonts w:ascii="Cambria" w:cs="Cambria" w:eastAsia="Cambria" w:hAnsi="Cambria"/>
          <w:b/>
          <w:bCs/>
          <w:sz w:val="26"/>
          <w:szCs w:val="26"/>
        </w:rPr>
        <w:t xml:space="preserve">4.2 Anatomía de la ficha de contenido</w:t>
      </w:r>
    </w:p>
    <w:p>
      <w:pPr>
        <w:spacing w:after="120" w:line="300"/>
        <w:jc w:val="both"/>
      </w:pPr>
      <w:r>
        <w:rPr>
          <w:rFonts w:ascii="Cambria" w:cs="Cambria" w:eastAsia="Cambria" w:hAnsi="Cambria"/>
          <w:sz w:val="21"/>
          <w:szCs w:val="21"/>
        </w:rPr>
        <w:t xml:space="preserve">Cuatro campos, siempre en el mismo orden. Si falta alguno, la ficha no sirve seis meses después.</w:t>
      </w:r>
    </w:p>
    <w:p>
      <w:pPr>
        <w:pStyle w:val="ListParagraph"/>
        <w:numPr>
          <w:ilvl w:val="0"/>
          <w:numId w:val="3"/>
        </w:numPr>
        <w:spacing w:after="70" w:line="280"/>
      </w:pPr>
      <w:r>
        <w:rPr>
          <w:rFonts w:ascii="Cambria" w:cs="Cambria" w:eastAsia="Cambria" w:hAnsi="Cambria"/>
          <w:sz w:val="21"/>
          <w:szCs w:val="21"/>
        </w:rPr>
        <w:t xml:space="preserve">Código y página exacta. Sin página, la ficha es inutilizable para citar.</w:t>
      </w:r>
    </w:p>
    <w:p>
      <w:pPr>
        <w:pStyle w:val="ListParagraph"/>
        <w:numPr>
          <w:ilvl w:val="0"/>
          <w:numId w:val="3"/>
        </w:numPr>
        <w:spacing w:after="70" w:line="280"/>
      </w:pPr>
      <w:r>
        <w:rPr>
          <w:rFonts w:ascii="Cambria" w:cs="Cambria" w:eastAsia="Cambria" w:hAnsi="Cambria"/>
          <w:sz w:val="21"/>
          <w:szCs w:val="21"/>
        </w:rPr>
        <w:t xml:space="preserve">Tipo de registro: cita literal entre comillas, o paráfrasis sin comillas. Nunca mezclar en la misma ficha.</w:t>
      </w:r>
    </w:p>
    <w:p>
      <w:pPr>
        <w:pStyle w:val="ListParagraph"/>
        <w:numPr>
          <w:ilvl w:val="0"/>
          <w:numId w:val="3"/>
        </w:numPr>
        <w:spacing w:after="70" w:line="280"/>
      </w:pPr>
      <w:r>
        <w:rPr>
          <w:rFonts w:ascii="Cambria" w:cs="Cambria" w:eastAsia="Cambria" w:hAnsi="Cambria"/>
          <w:sz w:val="21"/>
          <w:szCs w:val="21"/>
        </w:rPr>
        <w:t xml:space="preserve">El contenido, limitado a una sola idea. Dos ideas en una ficha significan que necesitabas dos fichas.</w:t>
      </w:r>
    </w:p>
    <w:p>
      <w:pPr>
        <w:pStyle w:val="ListParagraph"/>
        <w:numPr>
          <w:ilvl w:val="0"/>
          <w:numId w:val="3"/>
        </w:numPr>
        <w:spacing w:after="70" w:line="280"/>
      </w:pPr>
      <w:r>
        <w:rPr>
          <w:rFonts w:ascii="Cambria" w:cs="Cambria" w:eastAsia="Cambria" w:hAnsi="Cambria"/>
          <w:sz w:val="21"/>
          <w:szCs w:val="21"/>
        </w:rPr>
        <w:t xml:space="preserve">Descriptor temático de tres a cinco palabras, para poder ordenar el mazo después.</w:t>
      </w:r>
    </w:p>
    <w:p>
      <w:pPr>
        <w:pStyle w:val="Heading2"/>
        <w:spacing w:after="120" w:before="280"/>
      </w:pPr>
      <w:r>
        <w:rPr>
          <w:rFonts w:ascii="Cambria" w:cs="Cambria" w:eastAsia="Cambria" w:hAnsi="Cambria"/>
          <w:b/>
          <w:bCs/>
          <w:sz w:val="26"/>
          <w:szCs w:val="26"/>
        </w:rPr>
        <w:t xml:space="preserve">4.3 Código de color</w:t>
      </w:r>
    </w:p>
    <w:p>
      <w:pPr>
        <w:spacing w:after="120" w:line="300"/>
        <w:jc w:val="both"/>
      </w:pPr>
      <w:r>
        <w:rPr>
          <w:rFonts w:ascii="Cambria" w:cs="Cambria" w:eastAsia="Cambria" w:hAnsi="Cambria"/>
          <w:sz w:val="21"/>
          <w:szCs w:val="21"/>
        </w:rPr>
        <w:t xml:space="preserve">Aplica el mismo sistema que ya usas en tus otros materiales, para no fragmentar el método:</w:t>
      </w:r>
    </w:p>
    <w:p>
      <w:pPr>
        <w:pStyle w:val="ListParagraph"/>
        <w:numPr>
          <w:ilvl w:val="0"/>
          <w:numId w:val="3"/>
        </w:numPr>
        <w:spacing w:after="70" w:line="280"/>
      </w:pPr>
      <w:r>
        <w:rPr>
          <w:rFonts w:ascii="Cambria" w:cs="Cambria" w:eastAsia="Cambria" w:hAnsi="Cambria"/>
          <w:sz w:val="21"/>
          <w:szCs w:val="21"/>
        </w:rPr>
        <w:t xml:space="preserve">Selva — evidencia textual fuerte, pasaje citable.</w:t>
      </w:r>
    </w:p>
    <w:p>
      <w:pPr>
        <w:pStyle w:val="ListParagraph"/>
        <w:numPr>
          <w:ilvl w:val="0"/>
          <w:numId w:val="3"/>
        </w:numPr>
        <w:spacing w:after="70" w:line="280"/>
      </w:pPr>
      <w:r>
        <w:rPr>
          <w:rFonts w:ascii="Cambria" w:cs="Cambria" w:eastAsia="Cambria" w:hAnsi="Cambria"/>
          <w:sz w:val="21"/>
          <w:szCs w:val="21"/>
        </w:rPr>
        <w:t xml:space="preserve">Cobre — concepto doctrinal o definición operativa.</w:t>
      </w:r>
    </w:p>
    <w:p>
      <w:pPr>
        <w:pStyle w:val="ListParagraph"/>
        <w:numPr>
          <w:ilvl w:val="0"/>
          <w:numId w:val="3"/>
        </w:numPr>
        <w:spacing w:after="70" w:line="280"/>
      </w:pPr>
      <w:r>
        <w:rPr>
          <w:rFonts w:ascii="Cambria" w:cs="Cambria" w:eastAsia="Cambria" w:hAnsi="Cambria"/>
          <w:sz w:val="21"/>
          <w:szCs w:val="21"/>
        </w:rPr>
        <w:t xml:space="preserve">Oro — contradicción, vacío, o punto donde Adorno se contradice o queda corto. Es el color más productivo.</w:t>
      </w:r>
    </w:p>
    <w:p>
      <w:pPr>
        <w:pStyle w:val="ListParagraph"/>
        <w:numPr>
          <w:ilvl w:val="0"/>
          <w:numId w:val="3"/>
        </w:numPr>
        <w:spacing w:after="70" w:line="280"/>
      </w:pPr>
      <w:r>
        <w:rPr>
          <w:rFonts w:ascii="Cambria" w:cs="Cambria" w:eastAsia="Cambria" w:hAnsi="Cambria"/>
          <w:sz w:val="21"/>
          <w:szCs w:val="21"/>
        </w:rPr>
        <w:t xml:space="preserve">Negro — pendiente: verificar contra otra fuente, cotejar OCR, consultar con docente.</w:t>
      </w:r>
    </w:p>
    <w:p>
      <w:pPr>
        <w:pStyle w:val="Heading2"/>
        <w:spacing w:after="120" w:before="280"/>
      </w:pPr>
      <w:r>
        <w:rPr>
          <w:rFonts w:ascii="Cambria" w:cs="Cambria" w:eastAsia="Cambria" w:hAnsi="Cambria"/>
          <w:b/>
          <w:bCs/>
          <w:sz w:val="26"/>
          <w:szCs w:val="26"/>
        </w:rPr>
        <w:t xml:space="preserve">4.4 Meta por sesión</w:t>
      </w:r>
    </w:p>
    <w:p>
      <w:pPr>
        <w:spacing w:after="120" w:line="300"/>
        <w:jc w:val="both"/>
      </w:pPr>
      <w:r>
        <w:rPr>
          <w:rFonts w:ascii="Cambria" w:cs="Cambria" w:eastAsia="Cambria" w:hAnsi="Cambria"/>
          <w:sz w:val="21"/>
          <w:szCs w:val="21"/>
        </w:rPr>
        <w:t xml:space="preserve">Fija la cuota antes de sentarte, no después. Sugerencia calibrada a la densidad del texto:</w:t>
      </w:r>
    </w:p>
    <w:p>
      <w:pPr>
        <w:pStyle w:val="ListParagraph"/>
        <w:numPr>
          <w:ilvl w:val="0"/>
          <w:numId w:val="2"/>
        </w:numPr>
        <w:spacing w:after="80" w:line="280"/>
      </w:pPr>
      <w:r>
        <w:rPr>
          <w:rFonts w:ascii="Cambria" w:cs="Cambria" w:eastAsia="Cambria" w:hAnsi="Cambria"/>
          <w:sz w:val="21"/>
          <w:szCs w:val="21"/>
        </w:rPr>
        <w:t xml:space="preserve">Sesión 1 (Texto 4, la conferencia): 8 fichas de contenido, 3 personales.</w:t>
      </w:r>
    </w:p>
    <w:p>
      <w:pPr>
        <w:pStyle w:val="ListParagraph"/>
        <w:numPr>
          <w:ilvl w:val="0"/>
          <w:numId w:val="2"/>
        </w:numPr>
        <w:spacing w:after="80" w:line="280"/>
      </w:pPr>
      <w:r>
        <w:rPr>
          <w:rFonts w:ascii="Cambria" w:cs="Cambria" w:eastAsia="Cambria" w:hAnsi="Cambria"/>
          <w:sz w:val="21"/>
          <w:szCs w:val="21"/>
        </w:rPr>
        <w:t xml:space="preserve">Sesión 2 (Texto 1, «Sociedad»): 10 de contenido, 4 personales. Texto corto pero denso.</w:t>
      </w:r>
    </w:p>
    <w:p>
      <w:pPr>
        <w:pStyle w:val="ListParagraph"/>
        <w:numPr>
          <w:ilvl w:val="0"/>
          <w:numId w:val="2"/>
        </w:numPr>
        <w:spacing w:after="80" w:line="280"/>
      </w:pPr>
      <w:r>
        <w:rPr>
          <w:rFonts w:ascii="Cambria" w:cs="Cambria" w:eastAsia="Cambria" w:hAnsi="Cambria"/>
          <w:sz w:val="21"/>
          <w:szCs w:val="21"/>
        </w:rPr>
        <w:t xml:space="preserve">Sesión 3 (Texto 2, primera mitad): 12 de contenido, 4 personales.</w:t>
      </w:r>
    </w:p>
    <w:p>
      <w:pPr>
        <w:pStyle w:val="ListParagraph"/>
        <w:numPr>
          <w:ilvl w:val="0"/>
          <w:numId w:val="2"/>
        </w:numPr>
        <w:spacing w:after="80" w:line="280"/>
      </w:pPr>
      <w:r>
        <w:rPr>
          <w:rFonts w:ascii="Cambria" w:cs="Cambria" w:eastAsia="Cambria" w:hAnsi="Cambria"/>
          <w:sz w:val="21"/>
          <w:szCs w:val="21"/>
        </w:rPr>
        <w:t xml:space="preserve">Sesión 4 (Texto 2, segunda mitad, y Texto 3): 12 de contenido, 5 personales.</w:t>
      </w:r>
    </w:p>
    <w:p>
      <w:pPr>
        <w:spacing w:after="120" w:line="300"/>
        <w:jc w:val="both"/>
      </w:pPr>
      <w:r>
        <w:rPr>
          <w:rFonts w:ascii="Cambria" w:cs="Cambria" w:eastAsia="Cambria" w:hAnsi="Cambria"/>
          <w:sz w:val="21"/>
          <w:szCs w:val="21"/>
        </w:rPr>
        <w:t xml:space="preserve">Total aproximado: cuarenta y dos fichas de contenido y dieciséis personales. Eso es el sustrato de un capítulo, no de un resumen.</w:t>
      </w:r>
    </w:p>
    <w:p>
      <w:r>
        <w:br w:type="page"/>
      </w:r>
    </w:p>
    <w:p>
      <w:pPr>
        <w:pStyle w:val="Heading1"/>
        <w:spacing w:after="180" w:before="360"/>
      </w:pPr>
      <w:r>
        <w:rPr>
          <w:rFonts w:ascii="Cambria" w:cs="Cambria" w:eastAsia="Cambria" w:hAnsi="Cambria"/>
          <w:b/>
          <w:bCs/>
          <w:sz w:val="32"/>
          <w:szCs w:val="32"/>
        </w:rPr>
        <w:t xml:space="preserve">5. Puente hacia Relaciones Internacionales</w:t>
      </w:r>
    </w:p>
    <w:p>
      <w:pPr>
        <w:spacing w:after="120" w:line="300"/>
        <w:jc w:val="both"/>
      </w:pPr>
      <w:r>
        <w:rPr>
          <w:rFonts w:ascii="Cambria" w:cs="Cambria" w:eastAsia="Cambria" w:hAnsi="Cambria"/>
          <w:sz w:val="21"/>
          <w:szCs w:val="21"/>
        </w:rPr>
        <w:t xml:space="preserve">Adorno no escribió sobre relaciones internacionales. Pero este volumen contiene tres operaciones directamente transferibles a tu disciplina, y usarlas te distingue de quien solo lo cita como autoridad.</w:t>
      </w:r>
    </w:p>
    <w:p>
      <w:pPr>
        <w:pStyle w:val="Heading2"/>
        <w:spacing w:after="120" w:before="280"/>
      </w:pPr>
      <w:r>
        <w:rPr>
          <w:rFonts w:ascii="Cambria" w:cs="Cambria" w:eastAsia="Cambria" w:hAnsi="Cambria"/>
          <w:b/>
          <w:bCs/>
          <w:sz w:val="26"/>
          <w:szCs w:val="26"/>
        </w:rPr>
        <w:t xml:space="preserve">5.1 La crítica al indicador</w:t>
      </w:r>
    </w:p>
    <w:p>
      <w:pPr>
        <w:spacing w:after="120" w:line="300"/>
        <w:jc w:val="both"/>
      </w:pPr>
      <w:r>
        <w:rPr>
          <w:rFonts w:ascii="Cambria" w:cs="Cambria" w:eastAsia="Cambria" w:hAnsi="Cambria"/>
          <w:sz w:val="21"/>
          <w:szCs w:val="21"/>
        </w:rPr>
        <w:t xml:space="preserve">Todo el aparato de medición internacional —índices de gobernanza, de Estado fallido, de riesgo, de libertad, de percepción de corrupción— es definición operacional en el sentido exacto de la Tesis 4. El instrumento decide qué cuenta como el fenómeno. Y esos índices tienen consecuencias materiales: condicionan crédito, cooperación y reputación de Estados.</w:t>
      </w:r>
    </w:p>
    <w:p>
      <w:pPr>
        <w:spacing w:after="120" w:line="300"/>
        <w:jc w:val="both"/>
      </w:pPr>
      <w:r>
        <w:rPr>
          <w:rFonts w:ascii="Cambria" w:cs="Cambria" w:eastAsia="Cambria" w:hAnsi="Cambria"/>
          <w:sz w:val="21"/>
          <w:szCs w:val="21"/>
        </w:rPr>
        <w:t xml:space="preserve">Adorno te da el vocabulario para criticarlos sin caer en el relativismo fácil de decir que «son subjetivos». No son subjetivos: son objetivos respecto de su método y ciegos respecto de su objeto. La distinción es la que hace fuerte el argumento.</w:t>
      </w:r>
    </w:p>
    <w:p>
      <w:pPr>
        <w:pStyle w:val="Heading2"/>
        <w:spacing w:after="120" w:before="280"/>
      </w:pPr>
      <w:r>
        <w:rPr>
          <w:rFonts w:ascii="Cambria" w:cs="Cambria" w:eastAsia="Cambria" w:hAnsi="Cambria"/>
          <w:b/>
          <w:bCs/>
          <w:sz w:val="26"/>
          <w:szCs w:val="26"/>
        </w:rPr>
        <w:t xml:space="preserve">5.2 La opinión pública y la política exterior</w:t>
      </w:r>
    </w:p>
    <w:p>
      <w:pPr>
        <w:spacing w:after="120" w:line="300"/>
        <w:jc w:val="both"/>
      </w:pPr>
      <w:r>
        <w:rPr>
          <w:rFonts w:ascii="Cambria" w:cs="Cambria" w:eastAsia="Cambria" w:hAnsi="Cambria"/>
          <w:sz w:val="21"/>
          <w:szCs w:val="21"/>
        </w:rPr>
        <w:t xml:space="preserve">Su tratamiento del sondeo de opinión —que merece a la vez ser apreciado y despreciado, siguiendo a Hegel— es directamente aplicable al papel de la opinión pública en la formulación de política exterior. Apreciado, porque la ideología es parte real de la sociedad y hay que conocerla. Despreciado, porque su pretensión de verdad debe someterse a crítica.</w:t>
      </w:r>
    </w:p>
    <w:p>
      <w:pPr>
        <w:spacing w:after="120" w:line="300"/>
        <w:jc w:val="both"/>
      </w:pPr>
      <w:r>
        <w:rPr>
          <w:rFonts w:ascii="Cambria" w:cs="Cambria" w:eastAsia="Cambria" w:hAnsi="Cambria"/>
          <w:sz w:val="21"/>
          <w:szCs w:val="21"/>
        </w:rPr>
        <w:t xml:space="preserve">Nota que Adorno rechaza también el remedio opuesto: postular valores objetivos por decreto. Ese equilibrio es exactamente el problema del analista de política exterior.</w:t>
      </w:r>
    </w:p>
    <w:p>
      <w:pPr>
        <w:pStyle w:val="Heading2"/>
        <w:spacing w:after="120" w:before="280"/>
      </w:pPr>
      <w:r>
        <w:rPr>
          <w:rFonts w:ascii="Cambria" w:cs="Cambria" w:eastAsia="Cambria" w:hAnsi="Cambria"/>
          <w:b/>
          <w:bCs/>
          <w:sz w:val="26"/>
          <w:szCs w:val="26"/>
        </w:rPr>
        <w:t xml:space="preserve">5.3 Puente con tu eje de soberanía</w:t>
      </w:r>
    </w:p>
    <w:p>
      <w:pPr>
        <w:spacing w:after="120" w:line="300"/>
        <w:jc w:val="both"/>
      </w:pPr>
      <w:r>
        <w:rPr>
          <w:rFonts w:ascii="Cambria" w:cs="Cambria" w:eastAsia="Cambria" w:hAnsi="Cambria"/>
          <w:sz w:val="21"/>
          <w:szCs w:val="21"/>
        </w:rPr>
        <w:t xml:space="preserve">Aquí está lo más aprovechable para ti. La Tesis 1 dice que la sociedad es un concepto funcional que designa una red de dependencias y que no puede verificarse directamente. La soberanía funciona igual: no es un hecho observable sino una relación, y sin embargo produce efectos materiales sobre territorios, ríos, fronteras y ahora infraestructura digital.</w:t>
      </w:r>
    </w:p>
    <w:p>
      <w:pPr>
        <w:spacing w:after="120" w:line="300"/>
        <w:jc w:val="both"/>
      </w:pPr>
      <w:r>
        <w:rPr>
          <w:rFonts w:ascii="Cambria" w:cs="Cambria" w:eastAsia="Cambria" w:hAnsi="Cambria"/>
          <w:sz w:val="21"/>
          <w:szCs w:val="21"/>
        </w:rPr>
        <w:t xml:space="preserve">El movimiento fuerte para tu tesis: usar el criterio adorniano de mediación para argumentar que la soberanía digital no es una metáfora ni una extensión analógica de la soberanía territorial, sino la misma relación operando sobre un sustrato distinto. Los conflictos por cursos de agua internacionales y los conflictos por flujos de datos comparten estructura porque comparten el problema de gobernar un flujo que atraviesa fronteras.</w:t>
      </w:r>
    </w:p>
    <w:p>
      <w:pPr>
        <w:spacing w:after="120" w:line="300"/>
        <w:jc w:val="both"/>
      </w:pPr>
      <w:r>
        <w:rPr>
          <w:rFonts w:ascii="Cambria" w:cs="Cambria" w:eastAsia="Cambria" w:hAnsi="Cambria"/>
          <w:sz w:val="21"/>
          <w:szCs w:val="21"/>
        </w:rPr>
        <w:t xml:space="preserve">Advertencia metodológica que el propio Adorno te impone: no basta con afirmar la analogía. La Tesis 6 dice que «todo está relacionado con todo» es abstracción mala. Tienes que mostrar la mediación concreta, no proclamarla.</w:t>
      </w:r>
    </w:p>
    <w:p>
      <w:pPr>
        <w:spacing w:after="90" w:line="280"/>
        <w:ind w:left="360"/>
      </w:pPr>
      <w:r>
        <w:rPr>
          <w:rFonts w:ascii="Cambria" w:cs="Cambria" w:eastAsia="Cambria" w:hAnsi="Cambria"/>
          <w:sz w:val="20"/>
          <w:szCs w:val="20"/>
        </w:rPr>
        <w:t xml:space="preserve">▸  ¿Cuál es la mediación específica que conecta el caso histórico de aguas con el caso digital? No la conexión temática: la mediación.</w:t>
      </w:r>
    </w:p>
    <w:p>
      <w:r>
        <w:br w:type="page"/>
      </w:r>
    </w:p>
    <w:p>
      <w:pPr>
        <w:pStyle w:val="Heading1"/>
        <w:spacing w:after="180" w:before="360"/>
      </w:pPr>
      <w:r>
        <w:rPr>
          <w:rFonts w:ascii="Cambria" w:cs="Cambria" w:eastAsia="Cambria" w:hAnsi="Cambria"/>
          <w:b/>
          <w:bCs/>
          <w:sz w:val="32"/>
          <w:szCs w:val="32"/>
        </w:rPr>
        <w:t xml:space="preserve">6. Banco de preguntas para el trabajo escrito</w:t>
      </w:r>
    </w:p>
    <w:p>
      <w:pPr>
        <w:spacing w:after="120" w:line="300"/>
        <w:jc w:val="both"/>
      </w:pPr>
      <w:r>
        <w:rPr>
          <w:rFonts w:ascii="Cambria" w:cs="Cambria" w:eastAsia="Cambria" w:hAnsi="Cambria"/>
          <w:sz w:val="21"/>
          <w:szCs w:val="21"/>
        </w:rPr>
        <w:t xml:space="preserve">Doce preguntas de dificultad creciente. Las primeras cuatro se responden con lectura atenta; las últimas requieren posición propia y son las que sirven para un ensayo evaluable.</w:t>
      </w:r>
    </w:p>
    <w:p>
      <w:pPr>
        <w:pStyle w:val="ListParagraph"/>
        <w:numPr>
          <w:ilvl w:val="0"/>
          <w:numId w:val="2"/>
        </w:numPr>
        <w:spacing w:after="80" w:line="280"/>
      </w:pPr>
      <w:r>
        <w:rPr>
          <w:rFonts w:ascii="Cambria" w:cs="Cambria" w:eastAsia="Cambria" w:hAnsi="Cambria"/>
          <w:sz w:val="21"/>
          <w:szCs w:val="21"/>
        </w:rPr>
        <w:t xml:space="preserve">¿Por qué sostiene Adorno que el concepto de sociedad es funcional y no clasificatorio? ¿Qué se pierde si se lo trata como género?</w:t>
      </w:r>
    </w:p>
    <w:p>
      <w:pPr>
        <w:pStyle w:val="ListParagraph"/>
        <w:numPr>
          <w:ilvl w:val="0"/>
          <w:numId w:val="2"/>
        </w:numPr>
        <w:spacing w:after="80" w:line="280"/>
      </w:pPr>
      <w:r>
        <w:rPr>
          <w:rFonts w:ascii="Cambria" w:cs="Cambria" w:eastAsia="Cambria" w:hAnsi="Cambria"/>
          <w:sz w:val="21"/>
          <w:szCs w:val="21"/>
        </w:rPr>
        <w:t xml:space="preserve">Reconstruye el ejemplo de la paz salarial. ¿Qué explica el nivel local y qué exige remitirse a la totalidad?</w:t>
      </w:r>
    </w:p>
    <w:p>
      <w:pPr>
        <w:pStyle w:val="ListParagraph"/>
        <w:numPr>
          <w:ilvl w:val="0"/>
          <w:numId w:val="2"/>
        </w:numPr>
        <w:spacing w:after="80" w:line="280"/>
      </w:pPr>
      <w:r>
        <w:rPr>
          <w:rFonts w:ascii="Cambria" w:cs="Cambria" w:eastAsia="Cambria" w:hAnsi="Cambria"/>
          <w:sz w:val="21"/>
          <w:szCs w:val="21"/>
        </w:rPr>
        <w:t xml:space="preserve">Distingue objetividad del método y objetividad del objeto con un ejemplo que no sea el suyo.</w:t>
      </w:r>
    </w:p>
    <w:p>
      <w:pPr>
        <w:pStyle w:val="ListParagraph"/>
        <w:numPr>
          <w:ilvl w:val="0"/>
          <w:numId w:val="2"/>
        </w:numPr>
        <w:spacing w:after="80" w:line="280"/>
      </w:pPr>
      <w:r>
        <w:rPr>
          <w:rFonts w:ascii="Cambria" w:cs="Cambria" w:eastAsia="Cambria" w:hAnsi="Cambria"/>
          <w:sz w:val="21"/>
          <w:szCs w:val="21"/>
        </w:rPr>
        <w:t xml:space="preserve">Explica el círculo vicioso de la definición operacional con un indicador internacional concreto.</w:t>
      </w:r>
    </w:p>
    <w:p>
      <w:pPr>
        <w:pStyle w:val="ListParagraph"/>
        <w:numPr>
          <w:ilvl w:val="0"/>
          <w:numId w:val="2"/>
        </w:numPr>
        <w:spacing w:after="80" w:line="280"/>
      </w:pPr>
      <w:r>
        <w:rPr>
          <w:rFonts w:ascii="Cambria" w:cs="Cambria" w:eastAsia="Cambria" w:hAnsi="Cambria"/>
          <w:sz w:val="21"/>
          <w:szCs w:val="21"/>
        </w:rPr>
        <w:t xml:space="preserve">¿Por qué Adorno rechaza tanto a Weber como a Durkheim? ¿Qué conserva de cada uno?</w:t>
      </w:r>
    </w:p>
    <w:p>
      <w:pPr>
        <w:pStyle w:val="ListParagraph"/>
        <w:numPr>
          <w:ilvl w:val="0"/>
          <w:numId w:val="2"/>
        </w:numPr>
        <w:spacing w:after="80" w:line="280"/>
      </w:pPr>
      <w:r>
        <w:rPr>
          <w:rFonts w:ascii="Cambria" w:cs="Cambria" w:eastAsia="Cambria" w:hAnsi="Cambria"/>
          <w:sz w:val="21"/>
          <w:szCs w:val="21"/>
        </w:rPr>
        <w:t xml:space="preserve">¿Qué significa comprender la incomprensibilidad y por qué no es una paradoja retórica?</w:t>
      </w:r>
    </w:p>
    <w:p>
      <w:pPr>
        <w:pStyle w:val="ListParagraph"/>
        <w:numPr>
          <w:ilvl w:val="0"/>
          <w:numId w:val="2"/>
        </w:numPr>
        <w:spacing w:after="80" w:line="280"/>
      </w:pPr>
      <w:r>
        <w:rPr>
          <w:rFonts w:ascii="Cambria" w:cs="Cambria" w:eastAsia="Cambria" w:hAnsi="Cambria"/>
          <w:sz w:val="21"/>
          <w:szCs w:val="21"/>
        </w:rPr>
        <w:t xml:space="preserve">¿En qué se distingue la crítica adorniana del holismo trivial que él mismo denuncia?</w:t>
      </w:r>
    </w:p>
    <w:p>
      <w:pPr>
        <w:pStyle w:val="ListParagraph"/>
        <w:numPr>
          <w:ilvl w:val="0"/>
          <w:numId w:val="2"/>
        </w:numPr>
        <w:spacing w:after="80" w:line="280"/>
      </w:pPr>
      <w:r>
        <w:rPr>
          <w:rFonts w:ascii="Cambria" w:cs="Cambria" w:eastAsia="Cambria" w:hAnsi="Cambria"/>
          <w:sz w:val="21"/>
          <w:szCs w:val="21"/>
        </w:rPr>
        <w:t xml:space="preserve">Si la teoría es ineludiblemente crítica, ¿puede existir una sociología no crítica que siga siendo ciencia?</w:t>
      </w:r>
    </w:p>
    <w:p>
      <w:pPr>
        <w:pStyle w:val="ListParagraph"/>
        <w:numPr>
          <w:ilvl w:val="0"/>
          <w:numId w:val="2"/>
        </w:numPr>
        <w:spacing w:after="80" w:line="280"/>
      </w:pPr>
      <w:r>
        <w:rPr>
          <w:rFonts w:ascii="Cambria" w:cs="Cambria" w:eastAsia="Cambria" w:hAnsi="Cambria"/>
          <w:sz w:val="21"/>
          <w:szCs w:val="21"/>
        </w:rPr>
        <w:t xml:space="preserve">¿La crítica de Adorno a la investigación empírica invalida la encuesta, o le asigna un lugar? Argumenta con el texto.</w:t>
      </w:r>
    </w:p>
    <w:p>
      <w:pPr>
        <w:pStyle w:val="ListParagraph"/>
        <w:numPr>
          <w:ilvl w:val="0"/>
          <w:numId w:val="2"/>
        </w:numPr>
        <w:spacing w:after="80" w:line="280"/>
      </w:pPr>
      <w:r>
        <w:rPr>
          <w:rFonts w:ascii="Cambria" w:cs="Cambria" w:eastAsia="Cambria" w:hAnsi="Cambria"/>
          <w:sz w:val="21"/>
          <w:szCs w:val="21"/>
        </w:rPr>
        <w:t xml:space="preserve">¿Qué queda hoy en pie de esta crítica, sesenta años después, frente a los grandes datos y los modelos predictivos?</w:t>
      </w:r>
    </w:p>
    <w:p>
      <w:pPr>
        <w:pStyle w:val="ListParagraph"/>
        <w:numPr>
          <w:ilvl w:val="0"/>
          <w:numId w:val="2"/>
        </w:numPr>
        <w:spacing w:after="80" w:line="280"/>
      </w:pPr>
      <w:r>
        <w:rPr>
          <w:rFonts w:ascii="Cambria" w:cs="Cambria" w:eastAsia="Cambria" w:hAnsi="Cambria"/>
          <w:sz w:val="21"/>
          <w:szCs w:val="21"/>
        </w:rPr>
        <w:t xml:space="preserve">¿Es compatible el requisito institucional de formular hipótesis con la posición de Adorno? ¿Cómo lo resolverías en tu propio protocolo de tesis?</w:t>
      </w:r>
    </w:p>
    <w:p>
      <w:pPr>
        <w:pStyle w:val="ListParagraph"/>
        <w:numPr>
          <w:ilvl w:val="0"/>
          <w:numId w:val="2"/>
        </w:numPr>
        <w:spacing w:after="80" w:line="280"/>
      </w:pPr>
      <w:r>
        <w:rPr>
          <w:rFonts w:ascii="Cambria" w:cs="Cambria" w:eastAsia="Cambria" w:hAnsi="Cambria"/>
          <w:sz w:val="21"/>
          <w:szCs w:val="21"/>
        </w:rPr>
        <w:t xml:space="preserve">¿Puede aplicarse el criterio de mediación al concepto de soberanía sin caer en la abstracción mala que él denuncia?</w:t>
      </w:r>
    </w:p>
    <w:p>
      <w:pPr>
        <w:pBdr>
          <w:bottom w:val="single" w:color="999999" w:sz="6" w:space="6"/>
        </w:pBdr>
        <w:spacing w:after="160" w:before="160"/>
      </w:pPr>
      <w:r>
        <w:t xml:space="preserve"/>
      </w:r>
    </w:p>
    <w:p>
      <w:pPr>
        <w:spacing w:after="100" w:line="260"/>
      </w:pPr>
      <w:r>
        <w:rPr>
          <w:rFonts w:ascii="Cambria" w:cs="Cambria" w:eastAsia="Cambria" w:hAnsi="Cambria"/>
          <w:i/>
          <w:iCs/>
          <w:sz w:val="18"/>
          <w:szCs w:val="18"/>
        </w:rPr>
        <w:t xml:space="preserve">Las preguntas 10, 11 y 12 son las que producen un trabajo con aportación propia. Las nueve anteriores son andamiaje.</w:t>
      </w:r>
    </w:p>
    <w:p>
      <w:r>
        <w:br w:type="page"/>
      </w:r>
    </w:p>
    <w:p>
      <w:pPr>
        <w:pStyle w:val="Heading1"/>
        <w:spacing w:after="180" w:before="360"/>
      </w:pPr>
      <w:r>
        <w:rPr>
          <w:rFonts w:ascii="Cambria" w:cs="Cambria" w:eastAsia="Cambria" w:hAnsi="Cambria"/>
          <w:b/>
          <w:bCs/>
          <w:sz w:val="32"/>
          <w:szCs w:val="32"/>
        </w:rPr>
        <w:t xml:space="preserve">7. Bitácora de sesiones</w:t>
      </w:r>
    </w:p>
    <w:p>
      <w:pPr>
        <w:spacing w:after="120" w:line="300"/>
        <w:jc w:val="both"/>
      </w:pPr>
      <w:r>
        <w:rPr>
          <w:rFonts w:ascii="Cambria" w:cs="Cambria" w:eastAsia="Cambria" w:hAnsi="Cambria"/>
          <w:sz w:val="21"/>
          <w:szCs w:val="21"/>
        </w:rPr>
        <w:t xml:space="preserve">Registra cada sesión al terminar, no al empezar. Fecha, texto trabajado, páginas, número de fichas producidas por tipo, y una línea sobre qué no entendiste. Esa última línea es la más valiosa: es el mapa de lo que hay que releer.</w:t>
      </w:r>
    </w:p>
    <w:p>
      <w:pPr>
        <w:spacing w:after="60" w:before="220"/>
      </w:pPr>
      <w:r>
        <w:rPr>
          <w:rFonts w:ascii="Cambria" w:cs="Cambria" w:eastAsia="Cambria" w:hAnsi="Cambria"/>
          <w:b/>
          <w:bCs/>
          <w:sz w:val="21"/>
          <w:szCs w:val="21"/>
        </w:rPr>
        <w:t xml:space="preserve">Sesión 1</w:t>
      </w:r>
    </w:p>
    <w:p>
      <w:pPr>
        <w:pBdr>
          <w:bottom w:val="single" w:color="BBBBBB" w:sz="4" w:space="10"/>
        </w:pBdr>
        <w:spacing w:after="0"/>
      </w:pPr>
      <w:r>
        <w:rPr>
          <w:rFonts w:ascii="Cambria" w:cs="Cambria" w:eastAsia="Cambria" w:hAnsi="Cambria"/>
          <w:color w:val="666666"/>
          <w:sz w:val="19"/>
          <w:szCs w:val="19"/>
        </w:rPr>
        <w:t xml:space="preserve">Fecha:                              Texto y páginas:</w:t>
      </w:r>
    </w:p>
    <w:p>
      <w:pPr>
        <w:pBdr>
          <w:bottom w:val="single" w:color="BBBBBB" w:sz="4" w:space="10"/>
        </w:pBdr>
        <w:spacing w:before="200"/>
      </w:pPr>
      <w:r>
        <w:rPr>
          <w:rFonts w:ascii="Cambria" w:cs="Cambria" w:eastAsia="Cambria" w:hAnsi="Cambria"/>
          <w:color w:val="666666"/>
          <w:sz w:val="19"/>
          <w:szCs w:val="19"/>
        </w:rPr>
        <w:t xml:space="preserve">Fichas producidas —  contenido:              personales:</w:t>
      </w:r>
    </w:p>
    <w:p>
      <w:pPr>
        <w:pBdr>
          <w:bottom w:val="single" w:color="BBBBBB" w:sz="4" w:space="10"/>
        </w:pBdr>
        <w:spacing w:before="200"/>
      </w:pPr>
      <w:r>
        <w:rPr>
          <w:rFonts w:ascii="Cambria" w:cs="Cambria" w:eastAsia="Cambria" w:hAnsi="Cambria"/>
          <w:color w:val="666666"/>
          <w:sz w:val="19"/>
          <w:szCs w:val="19"/>
        </w:rPr>
        <w:t xml:space="preserve">Lo que no entendí:</w:t>
      </w:r>
    </w:p>
    <w:p>
      <w:pPr>
        <w:pBdr>
          <w:bottom w:val="single" w:color="BBBBBB" w:sz="4" w:space="10"/>
        </w:pBdr>
        <w:spacing w:before="200"/>
      </w:pPr>
      <w:r>
        <w:rPr>
          <w:rFonts w:ascii="Cambria" w:cs="Cambria" w:eastAsia="Cambria" w:hAnsi="Cambria"/>
          <w:sz w:val="19"/>
          <w:szCs w:val="19"/>
        </w:rPr>
        <w:t xml:space="preserve"/>
      </w:r>
    </w:p>
    <w:p>
      <w:pPr>
        <w:spacing w:after="60" w:before="220"/>
      </w:pPr>
      <w:r>
        <w:rPr>
          <w:rFonts w:ascii="Cambria" w:cs="Cambria" w:eastAsia="Cambria" w:hAnsi="Cambria"/>
          <w:b/>
          <w:bCs/>
          <w:sz w:val="21"/>
          <w:szCs w:val="21"/>
        </w:rPr>
        <w:t xml:space="preserve">Sesión 2</w:t>
      </w:r>
    </w:p>
    <w:p>
      <w:pPr>
        <w:pBdr>
          <w:bottom w:val="single" w:color="BBBBBB" w:sz="4" w:space="10"/>
        </w:pBdr>
        <w:spacing w:after="0"/>
      </w:pPr>
      <w:r>
        <w:rPr>
          <w:rFonts w:ascii="Cambria" w:cs="Cambria" w:eastAsia="Cambria" w:hAnsi="Cambria"/>
          <w:color w:val="666666"/>
          <w:sz w:val="19"/>
          <w:szCs w:val="19"/>
        </w:rPr>
        <w:t xml:space="preserve">Fecha:                              Texto y páginas:</w:t>
      </w:r>
    </w:p>
    <w:p>
      <w:pPr>
        <w:pBdr>
          <w:bottom w:val="single" w:color="BBBBBB" w:sz="4" w:space="10"/>
        </w:pBdr>
        <w:spacing w:before="200"/>
      </w:pPr>
      <w:r>
        <w:rPr>
          <w:rFonts w:ascii="Cambria" w:cs="Cambria" w:eastAsia="Cambria" w:hAnsi="Cambria"/>
          <w:color w:val="666666"/>
          <w:sz w:val="19"/>
          <w:szCs w:val="19"/>
        </w:rPr>
        <w:t xml:space="preserve">Fichas producidas —  contenido:              personales:</w:t>
      </w:r>
    </w:p>
    <w:p>
      <w:pPr>
        <w:pBdr>
          <w:bottom w:val="single" w:color="BBBBBB" w:sz="4" w:space="10"/>
        </w:pBdr>
        <w:spacing w:before="200"/>
      </w:pPr>
      <w:r>
        <w:rPr>
          <w:rFonts w:ascii="Cambria" w:cs="Cambria" w:eastAsia="Cambria" w:hAnsi="Cambria"/>
          <w:color w:val="666666"/>
          <w:sz w:val="19"/>
          <w:szCs w:val="19"/>
        </w:rPr>
        <w:t xml:space="preserve">Lo que no entendí:</w:t>
      </w:r>
    </w:p>
    <w:p>
      <w:pPr>
        <w:pBdr>
          <w:bottom w:val="single" w:color="BBBBBB" w:sz="4" w:space="10"/>
        </w:pBdr>
        <w:spacing w:before="200"/>
      </w:pPr>
      <w:r>
        <w:rPr>
          <w:rFonts w:ascii="Cambria" w:cs="Cambria" w:eastAsia="Cambria" w:hAnsi="Cambria"/>
          <w:sz w:val="19"/>
          <w:szCs w:val="19"/>
        </w:rPr>
        <w:t xml:space="preserve"/>
      </w:r>
    </w:p>
    <w:p>
      <w:pPr>
        <w:spacing w:after="60" w:before="220"/>
      </w:pPr>
      <w:r>
        <w:rPr>
          <w:rFonts w:ascii="Cambria" w:cs="Cambria" w:eastAsia="Cambria" w:hAnsi="Cambria"/>
          <w:b/>
          <w:bCs/>
          <w:sz w:val="21"/>
          <w:szCs w:val="21"/>
        </w:rPr>
        <w:t xml:space="preserve">Sesión 3</w:t>
      </w:r>
    </w:p>
    <w:p>
      <w:pPr>
        <w:pBdr>
          <w:bottom w:val="single" w:color="BBBBBB" w:sz="4" w:space="10"/>
        </w:pBdr>
        <w:spacing w:after="0"/>
      </w:pPr>
      <w:r>
        <w:rPr>
          <w:rFonts w:ascii="Cambria" w:cs="Cambria" w:eastAsia="Cambria" w:hAnsi="Cambria"/>
          <w:color w:val="666666"/>
          <w:sz w:val="19"/>
          <w:szCs w:val="19"/>
        </w:rPr>
        <w:t xml:space="preserve">Fecha:                              Texto y páginas:</w:t>
      </w:r>
    </w:p>
    <w:p>
      <w:pPr>
        <w:pBdr>
          <w:bottom w:val="single" w:color="BBBBBB" w:sz="4" w:space="10"/>
        </w:pBdr>
        <w:spacing w:before="200"/>
      </w:pPr>
      <w:r>
        <w:rPr>
          <w:rFonts w:ascii="Cambria" w:cs="Cambria" w:eastAsia="Cambria" w:hAnsi="Cambria"/>
          <w:color w:val="666666"/>
          <w:sz w:val="19"/>
          <w:szCs w:val="19"/>
        </w:rPr>
        <w:t xml:space="preserve">Fichas producidas —  contenido:              personales:</w:t>
      </w:r>
    </w:p>
    <w:p>
      <w:pPr>
        <w:pBdr>
          <w:bottom w:val="single" w:color="BBBBBB" w:sz="4" w:space="10"/>
        </w:pBdr>
        <w:spacing w:before="200"/>
      </w:pPr>
      <w:r>
        <w:rPr>
          <w:rFonts w:ascii="Cambria" w:cs="Cambria" w:eastAsia="Cambria" w:hAnsi="Cambria"/>
          <w:color w:val="666666"/>
          <w:sz w:val="19"/>
          <w:szCs w:val="19"/>
        </w:rPr>
        <w:t xml:space="preserve">Lo que no entendí:</w:t>
      </w:r>
    </w:p>
    <w:p>
      <w:pPr>
        <w:pBdr>
          <w:bottom w:val="single" w:color="BBBBBB" w:sz="4" w:space="10"/>
        </w:pBdr>
        <w:spacing w:before="200"/>
      </w:pPr>
      <w:r>
        <w:rPr>
          <w:rFonts w:ascii="Cambria" w:cs="Cambria" w:eastAsia="Cambria" w:hAnsi="Cambria"/>
          <w:sz w:val="19"/>
          <w:szCs w:val="19"/>
        </w:rPr>
        <w:t xml:space="preserve"/>
      </w:r>
    </w:p>
    <w:p>
      <w:pPr>
        <w:spacing w:after="60" w:before="220"/>
      </w:pPr>
      <w:r>
        <w:rPr>
          <w:rFonts w:ascii="Cambria" w:cs="Cambria" w:eastAsia="Cambria" w:hAnsi="Cambria"/>
          <w:b/>
          <w:bCs/>
          <w:sz w:val="21"/>
          <w:szCs w:val="21"/>
        </w:rPr>
        <w:t xml:space="preserve">Sesión 4</w:t>
      </w:r>
    </w:p>
    <w:p>
      <w:pPr>
        <w:pBdr>
          <w:bottom w:val="single" w:color="BBBBBB" w:sz="4" w:space="10"/>
        </w:pBdr>
        <w:spacing w:after="0"/>
      </w:pPr>
      <w:r>
        <w:rPr>
          <w:rFonts w:ascii="Cambria" w:cs="Cambria" w:eastAsia="Cambria" w:hAnsi="Cambria"/>
          <w:color w:val="666666"/>
          <w:sz w:val="19"/>
          <w:szCs w:val="19"/>
        </w:rPr>
        <w:t xml:space="preserve">Fecha:                              Texto y páginas:</w:t>
      </w:r>
    </w:p>
    <w:p>
      <w:pPr>
        <w:pBdr>
          <w:bottom w:val="single" w:color="BBBBBB" w:sz="4" w:space="10"/>
        </w:pBdr>
        <w:spacing w:before="200"/>
      </w:pPr>
      <w:r>
        <w:rPr>
          <w:rFonts w:ascii="Cambria" w:cs="Cambria" w:eastAsia="Cambria" w:hAnsi="Cambria"/>
          <w:color w:val="666666"/>
          <w:sz w:val="19"/>
          <w:szCs w:val="19"/>
        </w:rPr>
        <w:t xml:space="preserve">Fichas producidas —  contenido:              personales:</w:t>
      </w:r>
    </w:p>
    <w:p>
      <w:pPr>
        <w:pBdr>
          <w:bottom w:val="single" w:color="BBBBBB" w:sz="4" w:space="10"/>
        </w:pBdr>
        <w:spacing w:before="200"/>
      </w:pPr>
      <w:r>
        <w:rPr>
          <w:rFonts w:ascii="Cambria" w:cs="Cambria" w:eastAsia="Cambria" w:hAnsi="Cambria"/>
          <w:color w:val="666666"/>
          <w:sz w:val="19"/>
          <w:szCs w:val="19"/>
        </w:rPr>
        <w:t xml:space="preserve">Lo que no entendí:</w:t>
      </w:r>
    </w:p>
    <w:p>
      <w:pPr>
        <w:pBdr>
          <w:bottom w:val="single" w:color="BBBBBB" w:sz="4" w:space="10"/>
        </w:pBdr>
        <w:spacing w:before="200"/>
      </w:pPr>
      <w:r>
        <w:rPr>
          <w:rFonts w:ascii="Cambria" w:cs="Cambria" w:eastAsia="Cambria" w:hAnsi="Cambria"/>
          <w:sz w:val="19"/>
          <w:szCs w:val="19"/>
        </w:rPr>
        <w:t xml:space="preserve"/>
      </w:r>
    </w:p>
    <w:p>
      <w:pPr>
        <w:spacing w:after="60" w:before="220"/>
      </w:pPr>
      <w:r>
        <w:rPr>
          <w:rFonts w:ascii="Cambria" w:cs="Cambria" w:eastAsia="Cambria" w:hAnsi="Cambria"/>
          <w:b/>
          <w:bCs/>
          <w:sz w:val="21"/>
          <w:szCs w:val="21"/>
        </w:rPr>
        <w:t xml:space="preserve">Sesión 5</w:t>
      </w:r>
    </w:p>
    <w:p>
      <w:pPr>
        <w:pBdr>
          <w:bottom w:val="single" w:color="BBBBBB" w:sz="4" w:space="10"/>
        </w:pBdr>
        <w:spacing w:after="0"/>
      </w:pPr>
      <w:r>
        <w:rPr>
          <w:rFonts w:ascii="Cambria" w:cs="Cambria" w:eastAsia="Cambria" w:hAnsi="Cambria"/>
          <w:color w:val="666666"/>
          <w:sz w:val="19"/>
          <w:szCs w:val="19"/>
        </w:rPr>
        <w:t xml:space="preserve">Fecha:                              Texto y páginas:</w:t>
      </w:r>
    </w:p>
    <w:p>
      <w:pPr>
        <w:pBdr>
          <w:bottom w:val="single" w:color="BBBBBB" w:sz="4" w:space="10"/>
        </w:pBdr>
        <w:spacing w:before="200"/>
      </w:pPr>
      <w:r>
        <w:rPr>
          <w:rFonts w:ascii="Cambria" w:cs="Cambria" w:eastAsia="Cambria" w:hAnsi="Cambria"/>
          <w:color w:val="666666"/>
          <w:sz w:val="19"/>
          <w:szCs w:val="19"/>
        </w:rPr>
        <w:t xml:space="preserve">Fichas producidas —  contenido:              personales:</w:t>
      </w:r>
    </w:p>
    <w:p>
      <w:pPr>
        <w:pBdr>
          <w:bottom w:val="single" w:color="BBBBBB" w:sz="4" w:space="10"/>
        </w:pBdr>
        <w:spacing w:before="200"/>
      </w:pPr>
      <w:r>
        <w:rPr>
          <w:rFonts w:ascii="Cambria" w:cs="Cambria" w:eastAsia="Cambria" w:hAnsi="Cambria"/>
          <w:color w:val="666666"/>
          <w:sz w:val="19"/>
          <w:szCs w:val="19"/>
        </w:rPr>
        <w:t xml:space="preserve">Lo que no entendí:</w:t>
      </w:r>
    </w:p>
    <w:p>
      <w:pPr>
        <w:pBdr>
          <w:bottom w:val="single" w:color="BBBBBB" w:sz="4" w:space="10"/>
        </w:pBdr>
        <w:spacing w:before="200"/>
      </w:pPr>
      <w:r>
        <w:rPr>
          <w:rFonts w:ascii="Cambria" w:cs="Cambria" w:eastAsia="Cambria" w:hAnsi="Cambria"/>
          <w:sz w:val="19"/>
          <w:szCs w:val="19"/>
        </w:rPr>
        <w:t xml:space="preserve"/>
      </w:r>
    </w:p>
    <w:p>
      <w:pPr>
        <w:spacing w:after="60" w:before="220"/>
      </w:pPr>
      <w:r>
        <w:rPr>
          <w:rFonts w:ascii="Cambria" w:cs="Cambria" w:eastAsia="Cambria" w:hAnsi="Cambria"/>
          <w:b/>
          <w:bCs/>
          <w:sz w:val="21"/>
          <w:szCs w:val="21"/>
        </w:rPr>
        <w:t xml:space="preserve">Sesión 6</w:t>
      </w:r>
    </w:p>
    <w:p>
      <w:pPr>
        <w:pBdr>
          <w:bottom w:val="single" w:color="BBBBBB" w:sz="4" w:space="10"/>
        </w:pBdr>
        <w:spacing w:after="0"/>
      </w:pPr>
      <w:r>
        <w:rPr>
          <w:rFonts w:ascii="Cambria" w:cs="Cambria" w:eastAsia="Cambria" w:hAnsi="Cambria"/>
          <w:color w:val="666666"/>
          <w:sz w:val="19"/>
          <w:szCs w:val="19"/>
        </w:rPr>
        <w:t xml:space="preserve">Fecha:                              Texto y páginas:</w:t>
      </w:r>
    </w:p>
    <w:p>
      <w:pPr>
        <w:pBdr>
          <w:bottom w:val="single" w:color="BBBBBB" w:sz="4" w:space="10"/>
        </w:pBdr>
        <w:spacing w:before="200"/>
      </w:pPr>
      <w:r>
        <w:rPr>
          <w:rFonts w:ascii="Cambria" w:cs="Cambria" w:eastAsia="Cambria" w:hAnsi="Cambria"/>
          <w:color w:val="666666"/>
          <w:sz w:val="19"/>
          <w:szCs w:val="19"/>
        </w:rPr>
        <w:t xml:space="preserve">Fichas producidas —  contenido:              personales:</w:t>
      </w:r>
    </w:p>
    <w:p>
      <w:pPr>
        <w:pBdr>
          <w:bottom w:val="single" w:color="BBBBBB" w:sz="4" w:space="10"/>
        </w:pBdr>
        <w:spacing w:before="200"/>
      </w:pPr>
      <w:r>
        <w:rPr>
          <w:rFonts w:ascii="Cambria" w:cs="Cambria" w:eastAsia="Cambria" w:hAnsi="Cambria"/>
          <w:color w:val="666666"/>
          <w:sz w:val="19"/>
          <w:szCs w:val="19"/>
        </w:rPr>
        <w:t xml:space="preserve">Lo que no entendí:</w:t>
      </w:r>
    </w:p>
    <w:p>
      <w:pPr>
        <w:pBdr>
          <w:bottom w:val="single" w:color="BBBBBB" w:sz="4" w:space="10"/>
        </w:pBdr>
        <w:spacing w:before="200"/>
      </w:pPr>
      <w:r>
        <w:rPr>
          <w:rFonts w:ascii="Cambria" w:cs="Cambria" w:eastAsia="Cambria" w:hAnsi="Cambria"/>
          <w:sz w:val="19"/>
          <w:szCs w:val="19"/>
        </w:rPr>
        <w:t xml:space="preserve"/>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2026-08-25T04:09:42.875Z</dcterms:created>
  <dcterms:modified xsi:type="dcterms:W3CDTF">2026-08-25T04:09:42.890Z</dcterms:modified>
</cp:coreProperties>
</file>

<file path=docProps/custom.xml><?xml version="1.0" encoding="utf-8"?>
<Properties xmlns="http://schemas.openxmlformats.org/officeDocument/2006/custom-properties" xmlns:vt="http://schemas.openxmlformats.org/officeDocument/2006/docPropsVTypes"/>
</file>