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Stellar Pay — Diagramas de flujo</w:t>
      </w:r>
    </w:p>
    <w:p>
      <w:pPr>
        <w:spacing w:after="200"/>
      </w:pPr>
      <w:r>
        <w:t xml:space="preserve">Wallet Web2.5 en Stellar Testnet. Diagramas por feature, listos para copiar o imprimir. No es mainnet ni un banco: los saldos son fondos de prueba.</w:t>
      </w:r>
    </w:p>
    <w:p>
      <w:pPr>
        <w:pStyle w:val="Heading1"/>
      </w:pPr>
      <w:r>
        <w:t xml:space="preserve">Índice de features</w:t>
      </w:r>
    </w:p>
    <w:p>
      <w:r>
        <w:rPr>
          <w:b/>
          <w:bCs/>
        </w:rPr>
        <w:t xml:space="preserve">1. Roles y navegación</w:t>
      </w:r>
    </w:p>
    <w:p>
      <w:r>
        <w:rPr>
          <w:b/>
          <w:bCs/>
        </w:rPr>
        <w:t xml:space="preserve">2. Registro de cuenta</w:t>
      </w:r>
    </w:p>
    <w:p>
      <w:r>
        <w:rPr>
          <w:b/>
          <w:bCs/>
        </w:rPr>
        <w:t xml:space="preserve">3. Inicio de sesión</w:t>
      </w:r>
    </w:p>
    <w:p>
      <w:r>
        <w:rPr>
          <w:b/>
          <w:bCs/>
        </w:rPr>
        <w:t xml:space="preserve">4. Inicio — Cliente</w:t>
      </w:r>
    </w:p>
    <w:p>
      <w:r>
        <w:rPr>
          <w:b/>
          <w:bCs/>
        </w:rPr>
        <w:t xml:space="preserve">5. Inicio — Empresa</w:t>
      </w:r>
    </w:p>
    <w:p>
      <w:r>
        <w:rPr>
          <w:b/>
          <w:bCs/>
        </w:rPr>
        <w:t xml:space="preserve">6. Enviar por public key</w:t>
      </w:r>
    </w:p>
    <w:p>
      <w:r>
        <w:rPr>
          <w:b/>
          <w:bCs/>
        </w:rPr>
        <w:t xml:space="preserve">7. Pagar con QR</w:t>
      </w:r>
    </w:p>
    <w:p>
      <w:r>
        <w:rPr>
          <w:b/>
          <w:bCs/>
        </w:rPr>
        <w:t xml:space="preserve">8. Cobrar / factura QR</w:t>
      </w:r>
    </w:p>
    <w:p>
      <w:r>
        <w:rPr>
          <w:b/>
          <w:bCs/>
        </w:rPr>
        <w:t xml:space="preserve">9. Agregar fondos</w:t>
      </w:r>
    </w:p>
    <w:p>
      <w:r>
        <w:rPr>
          <w:b/>
          <w:bCs/>
        </w:rPr>
        <w:t xml:space="preserve">10. Depósito SEP-24 USDC</w:t>
      </w:r>
    </w:p>
    <w:p>
      <w:r>
        <w:rPr>
          <w:b/>
          <w:bCs/>
        </w:rPr>
        <w:t xml:space="preserve">11. Recarga SINPE Móvil (cliente)</w:t>
      </w:r>
    </w:p>
    <w:p>
      <w:r>
        <w:rPr>
          <w:b/>
          <w:bCs/>
        </w:rPr>
        <w:t xml:space="preserve">12. Visa virtual</w:t>
      </w:r>
    </w:p>
    <w:p>
      <w:r>
        <w:rPr>
          <w:b/>
          <w:bCs/>
        </w:rPr>
        <w:t xml:space="preserve">13. Simulador de datáfono</w:t>
      </w:r>
    </w:p>
    <w:p>
      <w:r>
        <w:rPr>
          <w:b/>
          <w:bCs/>
        </w:rPr>
        <w:t xml:space="preserve">14. Mapa — Cliente / Admin</w:t>
      </w:r>
    </w:p>
    <w:p>
      <w:r>
        <w:rPr>
          <w:b/>
          <w:bCs/>
        </w:rPr>
        <w:t xml:space="preserve">15. Publicar local — Empresa</w:t>
      </w:r>
    </w:p>
    <w:p>
      <w:r>
        <w:rPr>
          <w:b/>
          <w:bCs/>
        </w:rPr>
        <w:t xml:space="preserve">16. RWA — Aprender</w:t>
      </w:r>
    </w:p>
    <w:p>
      <w:r>
        <w:rPr>
          <w:b/>
          <w:bCs/>
        </w:rPr>
        <w:t xml:space="preserve">17. RWA — Tokenizar activo</w:t>
      </w:r>
    </w:p>
    <w:p>
      <w:r>
        <w:rPr>
          <w:b/>
          <w:bCs/>
        </w:rPr>
        <w:t xml:space="preserve">18. RWA — Marketplace</w:t>
      </w:r>
    </w:p>
    <w:p>
      <w:r>
        <w:rPr>
          <w:b/>
          <w:bCs/>
        </w:rPr>
        <w:t xml:space="preserve">19. RWA — Portafolio y dividendos</w:t>
      </w:r>
    </w:p>
    <w:p>
      <w:r>
        <w:rPr>
          <w:b/>
          <w:bCs/>
        </w:rPr>
        <w:t xml:space="preserve">20. RWA — Panel de estructuración</w:t>
      </w:r>
    </w:p>
    <w:p>
      <w:r>
        <w:rPr>
          <w:b/>
          <w:bCs/>
        </w:rPr>
        <w:t xml:space="preserve">21. Super admin / Distribuidor</w:t>
      </w:r>
    </w:p>
    <w:p>
      <w:r>
        <w:rPr>
          <w:b/>
          <w:bCs/>
        </w:rPr>
        <w:t xml:space="preserve">22. Caja del evento (efectivo)</w:t>
      </w:r>
    </w:p>
    <w:p>
      <w:r>
        <w:rPr>
          <w:b/>
          <w:bCs/>
        </w:rPr>
        <w:t xml:space="preserve">23. Mesa SINPE</w:t>
      </w:r>
    </w:p>
    <w:p>
      <w:r>
        <w:rPr>
          <w:b/>
          <w:bCs/>
        </w:rPr>
        <w:t xml:space="preserve">24. Perfil y cierre de sesión</w:t>
      </w:r>
    </w:p>
    <w:p>
      <w:r>
        <w:br w:type="page"/>
      </w:r>
    </w:p>
    <w:p>
      <w:pPr>
        <w:pStyle w:val="Heading1"/>
      </w:pPr>
      <w:r>
        <w:t xml:space="preserve">1. Roles y navegación</w:t>
      </w:r>
    </w:p>
    <w:p>
      <w:pPr>
        <w:spacing w:after="200"/>
      </w:pPr>
      <w:r>
        <w:t xml:space="preserve">Quién entra a cada pantalla. Staff de evento (caja y mesa SINPE) no ve Tarjeta, Mapa ni RWA.</w:t>
      </w:r>
    </w:p>
    <w:p>
      <w:pPr>
        <w:spacing w:after="400"/>
      </w:pPr>
      <w:r>
        <w:drawing>
          <wp:inline distT="0" distB="0" distL="0" distR="0">
            <wp:extent cx="59055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Registro de cuenta</w:t>
      </w:r>
    </w:p>
    <w:p>
      <w:pPr>
        <w:spacing w:after="200"/>
      </w:pPr>
      <w:r>
        <w:t xml:space="preserve">El usuario elige Cliente o Empresa. El servidor crea el keypair, lo fondea en Testnet y guarda la secret key cifrada. El navegador nunca ve la clave privada.</w:t>
      </w:r>
    </w:p>
    <w:p>
      <w:pPr>
        <w:spacing w:after="400"/>
      </w:pPr>
      <w:r>
        <w:drawing>
          <wp:inline distT="0" distB="0" distL="0" distR="0">
            <wp:extent cx="4343400" cy="1119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119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Inicio de sesión</w:t>
      </w:r>
    </w:p>
    <w:p>
      <w:pPr>
        <w:spacing w:after="200"/>
      </w:pPr>
      <w:r>
        <w:t xml:space="preserve">Invitados van a /login. Si ya hay cookie de sesión, se redirige a Inicio.</w:t>
      </w:r>
    </w:p>
    <w:p>
      <w:pPr>
        <w:spacing w:after="400"/>
      </w:pPr>
      <w:r>
        <w:drawing>
          <wp:inline distT="0" distB="0" distL="0" distR="0">
            <wp:extent cx="58293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Inicio — Cliente</w:t>
      </w:r>
    </w:p>
    <w:p>
      <w:pPr>
        <w:spacing w:after="200"/>
      </w:pPr>
      <w:r>
        <w:t xml:space="preserve">Dashboard con saldos ROJOS / XLM / USDC, recargas SINPE, actividad y pago QR.</w:t>
      </w:r>
    </w:p>
    <w:p>
      <w:pPr>
        <w:spacing w:after="400"/>
      </w:pPr>
      <w:r>
        <w:drawing>
          <wp:inline distT="0" distB="0" distL="0" distR="0">
            <wp:extent cx="5905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Inicio — Empresa</w:t>
      </w:r>
    </w:p>
    <w:p>
      <w:pPr>
        <w:spacing w:after="200"/>
      </w:pPr>
      <w:r>
        <w:t xml:space="preserve">Misma wallet que el cliente, más cobro con factura QR en lugar de escanear para pagar.</w:t>
      </w:r>
    </w:p>
    <w:p>
      <w:pPr>
        <w:spacing w:after="400"/>
      </w:pPr>
      <w:r>
        <w:drawing>
          <wp:inline distT="0" distB="0" distL="0" distR="0">
            <wp:extent cx="5905500" cy="526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6. Enviar por public key</w:t>
      </w:r>
    </w:p>
    <w:p>
      <w:pPr>
        <w:spacing w:after="200"/>
      </w:pPr>
      <w:r>
        <w:t xml:space="preserve">Pago custodial en Testnet. El backend firma y opcionalmente aplica fee-bump. Asset por defecto: ROJOS.</w:t>
      </w:r>
    </w:p>
    <w:p>
      <w:pPr>
        <w:spacing w:after="400"/>
      </w:pPr>
      <w:r>
        <w:drawing>
          <wp:inline distT="0" distB="0" distL="0" distR="0">
            <wp:extent cx="5086350" cy="1146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146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7. Pagar con QR</w:t>
      </w:r>
    </w:p>
    <w:p>
      <w:pPr>
        <w:spacing w:after="200"/>
      </w:pPr>
      <w:r>
        <w:t xml:space="preserve">El cliente abre cámara o pega el texto SP1|…. Confirma destino, monto, memo y premio ROJOS.</w:t>
      </w:r>
    </w:p>
    <w:p>
      <w:pPr>
        <w:spacing w:after="400"/>
      </w:pPr>
      <w:r>
        <w:drawing>
          <wp:inline distT="0" distB="0" distL="0" distR="0">
            <wp:extent cx="5181600" cy="1209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209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8. Cobrar / factura QR</w:t>
      </w:r>
    </w:p>
    <w:p>
      <w:pPr>
        <w:spacing w:after="200"/>
      </w:pPr>
      <w:r>
        <w:t xml:space="preserve">La empresa no envía el pago: genera un QR que el cliente liquida en Testnet.</w:t>
      </w:r>
    </w:p>
    <w:p>
      <w:pPr>
        <w:spacing w:after="400"/>
      </w:pPr>
      <w:r>
        <w:drawing>
          <wp:inline distT="0" distB="0" distL="0" distR="0">
            <wp:extent cx="2628900" cy="884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9. Agregar fondos</w:t>
      </w:r>
    </w:p>
    <w:p>
      <w:pPr>
        <w:spacing w:after="200"/>
      </w:pPr>
      <w:r>
        <w:t xml:space="preserve">Hoja Inicio → Agregar. Cuatro rieles de recarga.</w:t>
      </w:r>
    </w:p>
    <w:p>
      <w:pPr>
        <w:spacing w:after="400"/>
      </w:pPr>
      <w:r>
        <w:drawing>
          <wp:inline distT="0" distB="0" distL="0" distR="0">
            <wp:extent cx="59055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10. Depósito SEP-24 USDC</w:t>
      </w:r>
    </w:p>
    <w:p>
      <w:pPr>
        <w:spacing w:after="200"/>
      </w:pPr>
      <w:r>
        <w:t xml:space="preserve">MoneyGram (efectivo) o tarjeta. Requiere trustline USDC. El ancla interactivo corre en el flujo SEP-10/24 del servidor.</w:t>
      </w:r>
    </w:p>
    <w:p>
      <w:pPr>
        <w:spacing w:after="400"/>
      </w:pPr>
      <w:r>
        <w:drawing>
          <wp:inline distT="0" distB="0" distL="0" distR="0">
            <wp:extent cx="3438525" cy="1264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26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11. Recarga SINPE Móvil (cliente)</w:t>
      </w:r>
    </w:p>
    <w:p>
      <w:pPr>
        <w:spacing w:after="200"/>
      </w:pPr>
      <w:r>
        <w:t xml:space="preserve">Paridad ₡1.000 = 1 ROJO. Promo ₡9.000 = 10 ROJOS. Si el SMS no trae el código, el depósito queda para match manual.</w:t>
      </w:r>
    </w:p>
    <w:p>
      <w:pPr>
        <w:spacing w:after="400"/>
      </w:pPr>
      <w:r>
        <w:drawing>
          <wp:inline distT="0" distB="0" distL="0" distR="0">
            <wp:extent cx="4600575" cy="1660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66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12. Visa virtual</w:t>
      </w:r>
    </w:p>
    <w:p>
      <w:pPr>
        <w:spacing w:after="200"/>
      </w:pPr>
      <w:r>
        <w:t xml:space="preserve">Sandbox estilo Rain Cards. El saldo gastable es el USDC de la cuenta Stellar. PAN/CVV solo al tocar Ver detalles (20 s).</w:t>
      </w:r>
    </w:p>
    <w:p>
      <w:pPr>
        <w:spacing w:after="400"/>
      </w:pPr>
      <w:r>
        <w:drawing>
          <wp:inline distT="0" distB="0" distL="0" distR="0">
            <wp:extent cx="5905500" cy="555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13. Simulador de datáfono</w:t>
      </w:r>
    </w:p>
    <w:p>
      <w:pPr>
        <w:spacing w:after="200"/>
      </w:pPr>
      <w:r>
        <w:t xml:space="preserve">Cargo Visa de prueba. Si hay saldo se debita en Testnet hacia tesorería. Congelada o sin fondos = denegado.</w:t>
      </w:r>
    </w:p>
    <w:p>
      <w:pPr>
        <w:spacing w:after="400"/>
      </w:pPr>
      <w:r>
        <w:drawing>
          <wp:inline distT="0" distB="0" distL="0" distR="0">
            <wp:extent cx="4019550" cy="1163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163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14. Mapa — Cliente / Admin</w:t>
      </w:r>
    </w:p>
    <w:p>
      <w:pPr>
        <w:spacing w:after="200"/>
      </w:pPr>
      <w:r>
        <w:t xml:space="preserve">Pines de locales publicados. Filtro por categoría o promo ROJOS.</w:t>
      </w:r>
    </w:p>
    <w:p>
      <w:pPr>
        <w:spacing w:after="400"/>
      </w:pPr>
      <w:r>
        <w:drawing>
          <wp:inline distT="0" distB="0" distL="0" distR="0">
            <wp:extent cx="4905375" cy="736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15. Publicar local — Empresa</w:t>
      </w:r>
    </w:p>
    <w:p>
      <w:pPr>
        <w:spacing w:after="200"/>
      </w:pPr>
      <w:r>
        <w:t xml:space="preserve">Geocoding Nominatim. Promos de ROJOS visibles para clientes en el mapa.</w:t>
      </w:r>
    </w:p>
    <w:p>
      <w:pPr>
        <w:spacing w:after="400"/>
      </w:pPr>
      <w:r>
        <w:drawing>
          <wp:inline distT="0" distB="0" distL="0" distR="0">
            <wp:extent cx="4924425" cy="785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16. RWA — Aprender</w:t>
      </w:r>
    </w:p>
    <w:p>
      <w:pPr>
        <w:spacing w:after="200"/>
      </w:pPr>
      <w:r>
        <w:t xml:space="preserve">Educación y FAQ. Tokenizar solo empresa/admin. Clientes van al marketplace.</w:t>
      </w:r>
    </w:p>
    <w:p>
      <w:pPr>
        <w:spacing w:after="400"/>
      </w:pPr>
      <w:r>
        <w:drawing>
          <wp:inline distT="0" distB="0" distL="0" distR="0">
            <wp:extent cx="59055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17. RWA — Tokenizar activo</w:t>
      </w:r>
    </w:p>
    <w:p>
      <w:pPr>
        <w:spacing w:after="200"/>
      </w:pPr>
      <w:r>
        <w:t xml:space="preserve">Wizard de 5 pasos. El expediente queda en auditoría para el panel de estructuración.</w:t>
      </w:r>
    </w:p>
    <w:p>
      <w:pPr>
        <w:spacing w:after="400"/>
      </w:pPr>
      <w:r>
        <w:drawing>
          <wp:inline distT="0" distB="0" distL="0" distR="0">
            <wp:extent cx="3486150" cy="1114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114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18. RWA — Marketplace</w:t>
      </w:r>
    </w:p>
    <w:p>
      <w:pPr>
        <w:spacing w:after="200"/>
      </w:pPr>
      <w:r>
        <w:t xml:space="preserve">Compra con USDC de la wallet. Mínimo, cupo y trustline del token del activo.</w:t>
      </w:r>
    </w:p>
    <w:p>
      <w:pPr>
        <w:spacing w:after="400"/>
      </w:pPr>
      <w:r>
        <w:drawing>
          <wp:inline distT="0" distB="0" distL="0" distR="0">
            <wp:extent cx="4848225" cy="1174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174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19. RWA — Portafolio y dividendos</w:t>
      </w:r>
    </w:p>
    <w:p>
      <w:pPr>
        <w:spacing w:after="200"/>
      </w:pPr>
      <w:r>
        <w:t xml:space="preserve">Capital invertido, renta estimada y cobro de dividendos pendientes.</w:t>
      </w:r>
    </w:p>
    <w:p>
      <w:pPr>
        <w:spacing w:after="400"/>
      </w:pPr>
      <w:r>
        <w:drawing>
          <wp:inline distT="0" distB="0" distL="0" distR="0">
            <wp:extent cx="4486275" cy="847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847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20. RWA — Panel de estructuración</w:t>
      </w:r>
    </w:p>
    <w:p>
      <w:pPr>
        <w:spacing w:after="200"/>
      </w:pPr>
      <w:r>
        <w:t xml:space="preserve">Solo admin. Auditoría → legal → aprobar (marketplace) o rechazar.</w:t>
      </w:r>
    </w:p>
    <w:p>
      <w:pPr>
        <w:spacing w:after="400"/>
      </w:pPr>
      <w:r>
        <w:drawing>
          <wp:inline distT="0" distB="0" distL="0" distR="0">
            <wp:extent cx="5905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21. Super admin / Distribuidor</w:t>
      </w:r>
    </w:p>
    <w:p>
      <w:pPr>
        <w:spacing w:after="200"/>
      </w:pPr>
      <w:r>
        <w:t xml:space="preserve">Home del rol admin: finanzas, empresas, clientes, RWA y SINPE. Staff de evento no usa este panel.</w:t>
      </w:r>
    </w:p>
    <w:p>
      <w:pPr>
        <w:spacing w:after="400"/>
      </w:pPr>
      <w:r>
        <w:drawing>
          <wp:inline distT="0" distB="0" distL="0" distR="0">
            <wp:extent cx="59055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22. Caja del evento (efectivo)</w:t>
      </w:r>
    </w:p>
    <w:p>
      <w:pPr>
        <w:spacing w:after="200"/>
      </w:pPr>
      <w:r>
        <w:t xml:space="preserve">Rol cashier. Recibe colones, busca la cuenta y acredita ROJOS con la misma paridad SINPE.</w:t>
      </w:r>
    </w:p>
    <w:p>
      <w:pPr>
        <w:spacing w:after="400"/>
      </w:pPr>
      <w:r>
        <w:drawing>
          <wp:inline distT="0" distB="0" distL="0" distR="0">
            <wp:extent cx="5657850" cy="949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949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23. Mesa SINPE</w:t>
      </w:r>
    </w:p>
    <w:p>
      <w:pPr>
        <w:spacing w:after="200"/>
      </w:pPr>
      <w:r>
        <w:t xml:space="preserve">Rol sinpe_ops. Misma herramienta de asignación que admin, sin el resto del panel.</w:t>
      </w:r>
    </w:p>
    <w:p>
      <w:pPr>
        <w:spacing w:after="400"/>
      </w:pPr>
      <w:r>
        <w:drawing>
          <wp:inline distT="0" distB="0" distL="0" distR="0">
            <wp:extent cx="5238750" cy="777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24. Perfil y cierre de sesión</w:t>
      </w:r>
    </w:p>
    <w:p>
      <w:pPr>
        <w:spacing w:after="200"/>
      </w:pPr>
      <w:r>
        <w:t xml:space="preserve">Datos de cuenta, código SINPE (si aplica), public key y logout.</w:t>
      </w:r>
    </w:p>
    <w:p>
      <w:pPr>
        <w:spacing w:after="400"/>
      </w:pPr>
      <w:r>
        <w:drawing>
          <wp:inline distT="0" distB="0" distL="0" distR="0">
            <wp:extent cx="5905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8d1a8950e1af5389eb4b9adaae372063da274e5.png"/><Relationship Id="rId8" Type="http://schemas.openxmlformats.org/officeDocument/2006/relationships/image" Target="media/ad22361eadc3227384248e5b1d384e4f7f633faa.png"/><Relationship Id="rId9" Type="http://schemas.openxmlformats.org/officeDocument/2006/relationships/image" Target="media/45dea457c1bb4519862f4e1a76fc533e15e84807.png"/><Relationship Id="rId10" Type="http://schemas.openxmlformats.org/officeDocument/2006/relationships/image" Target="media/5d5295e5fd5745c24ef8f04de386d8bebd0a38e6.png"/><Relationship Id="rId11" Type="http://schemas.openxmlformats.org/officeDocument/2006/relationships/image" Target="media/b6f8d20957d951360ef24e500cc646fe90caa87c.png"/><Relationship Id="rId12" Type="http://schemas.openxmlformats.org/officeDocument/2006/relationships/image" Target="media/5034151a8377dc1f6477d122ac16542a84e8ca4d.png"/><Relationship Id="rId13" Type="http://schemas.openxmlformats.org/officeDocument/2006/relationships/image" Target="media/0f8b51b636b15da3bbd52f8d4984a83ccd4f805c.png"/><Relationship Id="rId14" Type="http://schemas.openxmlformats.org/officeDocument/2006/relationships/image" Target="media/786b8851cefbecaf6eec3764ce8d269d86b69a28.png"/><Relationship Id="rId15" Type="http://schemas.openxmlformats.org/officeDocument/2006/relationships/image" Target="media/ac502d338021c60f3a5767b18ffc81c66a7c00e2.png"/><Relationship Id="rId16" Type="http://schemas.openxmlformats.org/officeDocument/2006/relationships/image" Target="media/1c7bf31cc7c4eb08e126f73eebbfa27a89bcbb62.png"/><Relationship Id="rId17" Type="http://schemas.openxmlformats.org/officeDocument/2006/relationships/image" Target="media/c04e18434c8f7f1815ad0431894716a1b130ef3b.png"/><Relationship Id="rId18" Type="http://schemas.openxmlformats.org/officeDocument/2006/relationships/image" Target="media/1a451d7a7521b1d03ff55fbfb1a0d89e433918bd.png"/><Relationship Id="rId19" Type="http://schemas.openxmlformats.org/officeDocument/2006/relationships/image" Target="media/77303d2dc38250ec122b734603fa76626eb25fdd.png"/><Relationship Id="rId20" Type="http://schemas.openxmlformats.org/officeDocument/2006/relationships/image" Target="media/ea0347322e944d632c6eeabd2db6e74bbbe280c8.png"/><Relationship Id="rId21" Type="http://schemas.openxmlformats.org/officeDocument/2006/relationships/image" Target="media/b0f7e8c861d6174922595698d491b85ca4588ccd.png"/><Relationship Id="rId22" Type="http://schemas.openxmlformats.org/officeDocument/2006/relationships/image" Target="media/7277b512ebc3ff515b6a8b8d2bcdb0241faa59a0.png"/><Relationship Id="rId23" Type="http://schemas.openxmlformats.org/officeDocument/2006/relationships/image" Target="media/e505f93b7cc491354bf755716deded15bac6f55c.png"/><Relationship Id="rId24" Type="http://schemas.openxmlformats.org/officeDocument/2006/relationships/image" Target="media/9b816df80ec2117876a38bfedcdc90dbcf0abd75.png"/><Relationship Id="rId25" Type="http://schemas.openxmlformats.org/officeDocument/2006/relationships/image" Target="media/3b051cf725378bca11b3228bbe2dd5c2158239d8.png"/><Relationship Id="rId26" Type="http://schemas.openxmlformats.org/officeDocument/2006/relationships/image" Target="media/9c13543e4d45d6970f021afbbe7b4ff5447e12db.png"/><Relationship Id="rId27" Type="http://schemas.openxmlformats.org/officeDocument/2006/relationships/image" Target="media/9864ff6149e4f3508f9df68725329eb9b18f7398.png"/><Relationship Id="rId28" Type="http://schemas.openxmlformats.org/officeDocument/2006/relationships/image" Target="media/89b0efd71d5cd21e1377bc68d2d23886df4fab29.png"/><Relationship Id="rId29" Type="http://schemas.openxmlformats.org/officeDocument/2006/relationships/image" Target="media/0ef3639e67a79bb314cbfb25b030200728c2884a.png"/><Relationship Id="rId30" Type="http://schemas.openxmlformats.org/officeDocument/2006/relationships/image" Target="media/40331c3cf2e57ead5f783c0499799978c7cb3524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Stellar Pay — Diagramas de flujo</dc:title>
  <dc:creator>Stellar Pay</dc:creator>
  <cp:lastModifiedBy>Un-named</cp:lastModifiedBy>
  <cp:revision>1</cp:revision>
  <dcterms:created xsi:type="dcterms:W3CDTF">2026-09-17T19:01:34.481Z</dcterms:created>
  <dcterms:modified xsi:type="dcterms:W3CDTF">2026-09-17T19:01:34.734Z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