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SecretsPay — Feature flowcharts</w:t>
      </w:r>
    </w:p>
    <w:p>
      <w:pPr>
        <w:spacing w:after="200"/>
      </w:pPr>
      <w:r>
        <w:t xml:space="preserve">Web2.5 wallet on Stellar Testnet. One flowchart per feature, ready to copy into Word. This is not mainnet and not a bank: balances are test funds.</w:t>
      </w:r>
    </w:p>
    <w:p>
      <w:pPr>
        <w:pStyle w:val="Heading1"/>
      </w:pPr>
      <w:r>
        <w:t xml:space="preserve">Feature index</w:t>
      </w:r>
    </w:p>
    <w:p>
      <w:r>
        <w:rPr>
          <w:b/>
          <w:bCs/>
        </w:rPr>
        <w:t xml:space="preserve">1. Roles and navigation</w:t>
      </w:r>
    </w:p>
    <w:p>
      <w:r>
        <w:rPr>
          <w:b/>
          <w:bCs/>
        </w:rPr>
        <w:t xml:space="preserve">2. Account registration</w:t>
      </w:r>
    </w:p>
    <w:p>
      <w:r>
        <w:rPr>
          <w:b/>
          <w:bCs/>
        </w:rPr>
        <w:t xml:space="preserve">3. Sign in</w:t>
      </w:r>
    </w:p>
    <w:p>
      <w:r>
        <w:rPr>
          <w:b/>
          <w:bCs/>
        </w:rPr>
        <w:t xml:space="preserve">4. Home — Customer</w:t>
      </w:r>
    </w:p>
    <w:p>
      <w:r>
        <w:rPr>
          <w:b/>
          <w:bCs/>
        </w:rPr>
        <w:t xml:space="preserve">5. Home — Merchant</w:t>
      </w:r>
    </w:p>
    <w:p>
      <w:r>
        <w:rPr>
          <w:b/>
          <w:bCs/>
        </w:rPr>
        <w:t xml:space="preserve">6. Send by public key</w:t>
      </w:r>
    </w:p>
    <w:p>
      <w:r>
        <w:rPr>
          <w:b/>
          <w:bCs/>
        </w:rPr>
        <w:t xml:space="preserve">7. Pay with QR</w:t>
      </w:r>
    </w:p>
    <w:p>
      <w:r>
        <w:rPr>
          <w:b/>
          <w:bCs/>
        </w:rPr>
        <w:t xml:space="preserve">8. Charge / invoice QR</w:t>
      </w:r>
    </w:p>
    <w:p>
      <w:r>
        <w:rPr>
          <w:b/>
          <w:bCs/>
        </w:rPr>
        <w:t xml:space="preserve">9. Add funds</w:t>
      </w:r>
    </w:p>
    <w:p>
      <w:r>
        <w:rPr>
          <w:b/>
          <w:bCs/>
        </w:rPr>
        <w:t xml:space="preserve">10. SEP-24 USDC deposit</w:t>
      </w:r>
    </w:p>
    <w:p>
      <w:r>
        <w:rPr>
          <w:b/>
          <w:bCs/>
        </w:rPr>
        <w:t xml:space="preserve">11. SINPE Movil top-up (customer)</w:t>
      </w:r>
    </w:p>
    <w:p>
      <w:r>
        <w:rPr>
          <w:b/>
          <w:bCs/>
        </w:rPr>
        <w:t xml:space="preserve">12. Virtual Visa</w:t>
      </w:r>
    </w:p>
    <w:p>
      <w:r>
        <w:rPr>
          <w:b/>
          <w:bCs/>
        </w:rPr>
        <w:t xml:space="preserve">13. POS simulator</w:t>
      </w:r>
    </w:p>
    <w:p>
      <w:r>
        <w:rPr>
          <w:b/>
          <w:bCs/>
        </w:rPr>
        <w:t xml:space="preserve">14. Map — Customer / Admin</w:t>
      </w:r>
    </w:p>
    <w:p>
      <w:r>
        <w:rPr>
          <w:b/>
          <w:bCs/>
        </w:rPr>
        <w:t xml:space="preserve">15. Publish venue — Merchant</w:t>
      </w:r>
    </w:p>
    <w:p>
      <w:r>
        <w:rPr>
          <w:b/>
          <w:bCs/>
        </w:rPr>
        <w:t xml:space="preserve">16. RWA — Learn</w:t>
      </w:r>
    </w:p>
    <w:p>
      <w:r>
        <w:rPr>
          <w:b/>
          <w:bCs/>
        </w:rPr>
        <w:t xml:space="preserve">17. RWA — Tokenize asset</w:t>
      </w:r>
    </w:p>
    <w:p>
      <w:r>
        <w:rPr>
          <w:b/>
          <w:bCs/>
        </w:rPr>
        <w:t xml:space="preserve">18. RWA — Marketplace</w:t>
      </w:r>
    </w:p>
    <w:p>
      <w:r>
        <w:rPr>
          <w:b/>
          <w:bCs/>
        </w:rPr>
        <w:t xml:space="preserve">19. RWA — Portfolio and dividends</w:t>
      </w:r>
    </w:p>
    <w:p>
      <w:r>
        <w:rPr>
          <w:b/>
          <w:bCs/>
        </w:rPr>
        <w:t xml:space="preserve">20. RWA — Structuring panel</w:t>
      </w:r>
    </w:p>
    <w:p>
      <w:r>
        <w:rPr>
          <w:b/>
          <w:bCs/>
        </w:rPr>
        <w:t xml:space="preserve">21. Super admin / Distributor</w:t>
      </w:r>
    </w:p>
    <w:p>
      <w:r>
        <w:rPr>
          <w:b/>
          <w:bCs/>
        </w:rPr>
        <w:t xml:space="preserve">22. Event cash desk</w:t>
      </w:r>
    </w:p>
    <w:p>
      <w:r>
        <w:rPr>
          <w:b/>
          <w:bCs/>
        </w:rPr>
        <w:t xml:space="preserve">23. SINPE desk</w:t>
      </w:r>
    </w:p>
    <w:p>
      <w:r>
        <w:rPr>
          <w:b/>
          <w:bCs/>
        </w:rPr>
        <w:t xml:space="preserve">24. Profile and sign out</w:t>
      </w:r>
    </w:p>
    <w:p>
      <w:r>
        <w:br w:type="page"/>
      </w:r>
    </w:p>
    <w:p>
      <w:pPr>
        <w:pStyle w:val="Heading1"/>
      </w:pPr>
      <w:r>
        <w:t xml:space="preserve">1. Roles and navigation</w:t>
      </w:r>
    </w:p>
    <w:p>
      <w:pPr>
        <w:spacing w:after="200"/>
      </w:pPr>
      <w:r>
        <w:t xml:space="preserve">Who reaches each screen. Event staff (cashier and SINPE desk) do not see Card, Map, or RWA.</w:t>
      </w:r>
    </w:p>
    <w:p>
      <w:pPr>
        <w:spacing w:after="400"/>
      </w:pPr>
      <w:r>
        <w:drawing>
          <wp:inline distT="0" distB="0" distL="0" distR="0">
            <wp:extent cx="5905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Account registration</w:t>
      </w:r>
    </w:p>
    <w:p>
      <w:pPr>
        <w:spacing w:after="200"/>
      </w:pPr>
      <w:r>
        <w:t xml:space="preserve">The user picks Customer or Merchant. The server creates a keypair, funds it on Testnet, and stores the secret encrypted. The browser never sees the private key.</w:t>
      </w:r>
    </w:p>
    <w:p>
      <w:pPr>
        <w:spacing w:after="400"/>
      </w:pPr>
      <w:r>
        <w:drawing>
          <wp:inline distT="0" distB="0" distL="0" distR="0">
            <wp:extent cx="4295775" cy="1128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12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Sign in</w:t>
      </w:r>
    </w:p>
    <w:p>
      <w:pPr>
        <w:spacing w:after="200"/>
      </w:pPr>
      <w:r>
        <w:t xml:space="preserve">Guests go to /login. If a session cookie already exists, they are redirected to Home.</w:t>
      </w:r>
    </w:p>
    <w:p>
      <w:pPr>
        <w:spacing w:after="400"/>
      </w:pPr>
      <w:r>
        <w:drawing>
          <wp:inline distT="0" distB="0" distL="0" distR="0">
            <wp:extent cx="50863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Home — Customer</w:t>
      </w:r>
    </w:p>
    <w:p>
      <w:pPr>
        <w:spacing w:after="200"/>
      </w:pPr>
      <w:r>
        <w:t xml:space="preserve">Dashboard with ROJOS / XLM / USDC balances, SINPE top-ups, activity, and QR pay.</w:t>
      </w:r>
    </w:p>
    <w:p>
      <w:pPr>
        <w:spacing w:after="400"/>
      </w:pPr>
      <w:r>
        <w:drawing>
          <wp:inline distT="0" distB="0" distL="0" distR="0">
            <wp:extent cx="5905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Home — Merchant</w:t>
      </w:r>
    </w:p>
    <w:p>
      <w:pPr>
        <w:spacing w:after="200"/>
      </w:pPr>
      <w:r>
        <w:t xml:space="preserve">Same wallet as the customer, plus charge via invoice QR instead of scanning to pay.</w:t>
      </w:r>
    </w:p>
    <w:p>
      <w:pPr>
        <w:spacing w:after="400"/>
      </w:pPr>
      <w:r>
        <w:drawing>
          <wp:inline distT="0" distB="0" distL="0" distR="0">
            <wp:extent cx="59055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Send by public key</w:t>
      </w:r>
    </w:p>
    <w:p>
      <w:pPr>
        <w:spacing w:after="200"/>
      </w:pPr>
      <w:r>
        <w:t xml:space="preserve">Custodial Testnet payment. The backend signs and may wrap a fee-bump. Default asset: ROJOS.</w:t>
      </w:r>
    </w:p>
    <w:p>
      <w:pPr>
        <w:spacing w:after="400"/>
      </w:pPr>
      <w:r>
        <w:drawing>
          <wp:inline distT="0" distB="0" distL="0" distR="0">
            <wp:extent cx="4933950" cy="1133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133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Pay with QR</w:t>
      </w:r>
    </w:p>
    <w:p>
      <w:pPr>
        <w:spacing w:after="200"/>
      </w:pPr>
      <w:r>
        <w:t xml:space="preserve">The customer opens the camera or pastes SP1|… text. Confirms destination, amount, memo, and optional ROJOS reward.</w:t>
      </w:r>
    </w:p>
    <w:p>
      <w:pPr>
        <w:spacing w:after="400"/>
      </w:pPr>
      <w:r>
        <w:drawing>
          <wp:inline distT="0" distB="0" distL="0" distR="0">
            <wp:extent cx="4838700" cy="1170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170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Charge / invoice QR</w:t>
      </w:r>
    </w:p>
    <w:p>
      <w:pPr>
        <w:spacing w:after="200"/>
      </w:pPr>
      <w:r>
        <w:t xml:space="preserve">The merchant does not send the payment: they generate a QR that the customer settles on Testnet.</w:t>
      </w:r>
    </w:p>
    <w:p>
      <w:pPr>
        <w:spacing w:after="400"/>
      </w:pPr>
      <w:r>
        <w:drawing>
          <wp:inline distT="0" distB="0" distL="0" distR="0">
            <wp:extent cx="2628900" cy="884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9. Add funds</w:t>
      </w:r>
    </w:p>
    <w:p>
      <w:pPr>
        <w:spacing w:after="200"/>
      </w:pPr>
      <w:r>
        <w:t xml:space="preserve">Home → Add sheet. Four funding rails.</w:t>
      </w:r>
    </w:p>
    <w:p>
      <w:pPr>
        <w:spacing w:after="400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10. SEP-24 USDC deposit</w:t>
      </w:r>
    </w:p>
    <w:p>
      <w:pPr>
        <w:spacing w:after="200"/>
      </w:pPr>
      <w:r>
        <w:t xml:space="preserve">MoneyGram cash or card. Requires a USDC trustline. The interactive anchor runs through server-side SEP-10/24.</w:t>
      </w:r>
    </w:p>
    <w:p>
      <w:pPr>
        <w:spacing w:after="400"/>
      </w:pPr>
      <w:r>
        <w:drawing>
          <wp:inline distT="0" distB="0" distL="0" distR="0">
            <wp:extent cx="3429000" cy="1218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18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11. SINPE Movil top-up (customer)</w:t>
      </w:r>
    </w:p>
    <w:p>
      <w:pPr>
        <w:spacing w:after="200"/>
      </w:pPr>
      <w:r>
        <w:t xml:space="preserve">Parity CRC 1,000 = 1 ROJO. Promo CRC 9,000 = 10 ROJOS. If the SMS has no account code, the deposit waits for a manual match.</w:t>
      </w:r>
    </w:p>
    <w:p>
      <w:pPr>
        <w:spacing w:after="400"/>
      </w:pPr>
      <w:r>
        <w:drawing>
          <wp:inline distT="0" distB="0" distL="0" distR="0">
            <wp:extent cx="4305300" cy="1585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58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12. Virtual Visa</w:t>
      </w:r>
    </w:p>
    <w:p>
      <w:pPr>
        <w:spacing w:after="200"/>
      </w:pPr>
      <w:r>
        <w:t xml:space="preserve">Rain Cards-style sandbox. Spendable balance is the Stellar account USDC. PAN/CVV only after Reveal details (20 s).</w:t>
      </w:r>
    </w:p>
    <w:p>
      <w:pPr>
        <w:spacing w:after="400"/>
      </w:pPr>
      <w:r>
        <w:drawing>
          <wp:inline distT="0" distB="0" distL="0" distR="0">
            <wp:extent cx="59055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13. POS simulator</w:t>
      </w:r>
    </w:p>
    <w:p>
      <w:pPr>
        <w:spacing w:after="200"/>
      </w:pPr>
      <w:r>
        <w:t xml:space="preserve">Sandbox Visa charge. If funds exist they are debited on Testnet to treasury. Frozen card or insufficient funds = declined.</w:t>
      </w:r>
    </w:p>
    <w:p>
      <w:pPr>
        <w:spacing w:after="400"/>
      </w:pPr>
      <w:r>
        <w:drawing>
          <wp:inline distT="0" distB="0" distL="0" distR="0">
            <wp:extent cx="3981450" cy="1137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1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14. Map — Customer / Admin</w:t>
      </w:r>
    </w:p>
    <w:p>
      <w:pPr>
        <w:spacing w:after="200"/>
      </w:pPr>
      <w:r>
        <w:t xml:space="preserve">Pins for published venues. Filter by category or ROJOS promo.</w:t>
      </w:r>
    </w:p>
    <w:p>
      <w:pPr>
        <w:spacing w:after="400"/>
      </w:pPr>
      <w:r>
        <w:drawing>
          <wp:inline distT="0" distB="0" distL="0" distR="0">
            <wp:extent cx="4895850" cy="735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15. Publish venue — Merchant</w:t>
      </w:r>
    </w:p>
    <w:p>
      <w:pPr>
        <w:spacing w:after="200"/>
      </w:pPr>
      <w:r>
        <w:t xml:space="preserve">Nominatim geocoding. ROJOS promos are visible to customers on the map.</w:t>
      </w:r>
    </w:p>
    <w:p>
      <w:pPr>
        <w:spacing w:after="400"/>
      </w:pPr>
      <w:r>
        <w:drawing>
          <wp:inline distT="0" distB="0" distL="0" distR="0">
            <wp:extent cx="4524375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16. RWA — Learn</w:t>
      </w:r>
    </w:p>
    <w:p>
      <w:pPr>
        <w:spacing w:after="200"/>
      </w:pPr>
      <w:r>
        <w:t xml:space="preserve">Education and FAQ. Tokenization is merchant/admin only. Customers go to the marketplace.</w:t>
      </w:r>
    </w:p>
    <w:p>
      <w:pPr>
        <w:spacing w:after="400"/>
      </w:pPr>
      <w:r>
        <w:drawing>
          <wp:inline distT="0" distB="0" distL="0" distR="0">
            <wp:extent cx="5905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17. RWA — Tokenize asset</w:t>
      </w:r>
    </w:p>
    <w:p>
      <w:pPr>
        <w:spacing w:after="200"/>
      </w:pPr>
      <w:r>
        <w:t xml:space="preserve">Five-step wizard. The file lands in audit for the structuring panel.</w:t>
      </w:r>
    </w:p>
    <w:p>
      <w:pPr>
        <w:spacing w:after="400"/>
      </w:pPr>
      <w:r>
        <w:drawing>
          <wp:inline distT="0" distB="0" distL="0" distR="0">
            <wp:extent cx="3352800" cy="1084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8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18. RWA — Marketplace</w:t>
      </w:r>
    </w:p>
    <w:p>
      <w:pPr>
        <w:spacing w:after="200"/>
      </w:pPr>
      <w:r>
        <w:t xml:space="preserve">Buy with wallet USDC. Enforces minimum, remaining capacity, and the asset token trustline.</w:t>
      </w:r>
    </w:p>
    <w:p>
      <w:pPr>
        <w:spacing w:after="400"/>
      </w:pPr>
      <w:r>
        <w:drawing>
          <wp:inline distT="0" distB="0" distL="0" distR="0">
            <wp:extent cx="4381500" cy="1174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74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19. RWA — Portfolio and dividends</w:t>
      </w:r>
    </w:p>
    <w:p>
      <w:pPr>
        <w:spacing w:after="200"/>
      </w:pPr>
      <w:r>
        <w:t xml:space="preserve">Invested capital, estimated yield, and claiming pending dividends.</w:t>
      </w:r>
    </w:p>
    <w:p>
      <w:pPr>
        <w:spacing w:after="400"/>
      </w:pPr>
      <w:r>
        <w:drawing>
          <wp:inline distT="0" distB="0" distL="0" distR="0">
            <wp:extent cx="4124325" cy="765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20. RWA — Structuring panel</w:t>
      </w:r>
    </w:p>
    <w:p>
      <w:pPr>
        <w:spacing w:after="200"/>
      </w:pPr>
      <w:r>
        <w:t xml:space="preserve">Admin only. Audit → legal → approve (marketplace) or reject.</w:t>
      </w:r>
    </w:p>
    <w:p>
      <w:pPr>
        <w:spacing w:after="400"/>
      </w:pPr>
      <w:r>
        <w:drawing>
          <wp:inline distT="0" distB="0" distL="0" distR="0">
            <wp:extent cx="59055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21. Super admin / Distributor</w:t>
      </w:r>
    </w:p>
    <w:p>
      <w:pPr>
        <w:spacing w:after="200"/>
      </w:pPr>
      <w:r>
        <w:t xml:space="preserve">Admin home: finance, merchants, customers, RWA, and SINPE. Event staff do not use this panel.</w:t>
      </w:r>
    </w:p>
    <w:p>
      <w:pPr>
        <w:spacing w:after="400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22. Event cash desk</w:t>
      </w:r>
    </w:p>
    <w:p>
      <w:pPr>
        <w:spacing w:after="200"/>
      </w:pPr>
      <w:r>
        <w:t xml:space="preserve">Cashier role. Takes colones, finds the account, and credits ROJOS at the same SINPE parity.</w:t>
      </w:r>
    </w:p>
    <w:p>
      <w:pPr>
        <w:spacing w:after="400"/>
      </w:pPr>
      <w:r>
        <w:drawing>
          <wp:inline distT="0" distB="0" distL="0" distR="0">
            <wp:extent cx="5276850" cy="902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23. SINPE desk</w:t>
      </w:r>
    </w:p>
    <w:p>
      <w:pPr>
        <w:spacing w:after="200"/>
      </w:pPr>
      <w:r>
        <w:t xml:space="preserve">sinpe_ops role. Same assignment tool as admin, without the rest of the panel.</w:t>
      </w:r>
    </w:p>
    <w:p>
      <w:pPr>
        <w:spacing w:after="400"/>
      </w:pPr>
      <w:r>
        <w:drawing>
          <wp:inline distT="0" distB="0" distL="0" distR="0">
            <wp:extent cx="5114925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24. Profile and sign out</w:t>
      </w:r>
    </w:p>
    <w:p>
      <w:pPr>
        <w:spacing w:after="200"/>
      </w:pPr>
      <w:r>
        <w:t xml:space="preserve">Account details, SINPE code when applicable, public key, and logout.</w:t>
      </w:r>
    </w:p>
    <w:p>
      <w:pPr>
        <w:spacing w:after="400"/>
      </w:pPr>
      <w:r>
        <w:drawing>
          <wp:inline distT="0" distB="0" distL="0" distR="0">
            <wp:extent cx="5905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26563588d02c91a024184f1ad9547f1490d7e7.png"/><Relationship Id="rId8" Type="http://schemas.openxmlformats.org/officeDocument/2006/relationships/image" Target="media/9f4118480f51220fe3814a3ddc75c10d97caaca6.png"/><Relationship Id="rId9" Type="http://schemas.openxmlformats.org/officeDocument/2006/relationships/image" Target="media/03f5c79b971470d3f25bf563177247e3bb88e466.png"/><Relationship Id="rId10" Type="http://schemas.openxmlformats.org/officeDocument/2006/relationships/image" Target="media/07322e09210cd4d31467c3ae58868e997adcaee2.png"/><Relationship Id="rId11" Type="http://schemas.openxmlformats.org/officeDocument/2006/relationships/image" Target="media/f41dc100fc53c371e703f1fe6d5e0ee5ea97f9e3.png"/><Relationship Id="rId12" Type="http://schemas.openxmlformats.org/officeDocument/2006/relationships/image" Target="media/093ff492a36b9471dc72a20fd2aa14f3a018d0dd.png"/><Relationship Id="rId13" Type="http://schemas.openxmlformats.org/officeDocument/2006/relationships/image" Target="media/1e5323f64385f96f8858fa03cc404461a0d6ce9b.png"/><Relationship Id="rId14" Type="http://schemas.openxmlformats.org/officeDocument/2006/relationships/image" Target="media/72fa5b08f8636b3cbb0651b0260682e356d40829.png"/><Relationship Id="rId15" Type="http://schemas.openxmlformats.org/officeDocument/2006/relationships/image" Target="media/d4a0f6f23af13dc550ce7d945c1d366cffc42daf.png"/><Relationship Id="rId16" Type="http://schemas.openxmlformats.org/officeDocument/2006/relationships/image" Target="media/b6d903b065c2041231413b1e7f90ecbed629f67f.png"/><Relationship Id="rId17" Type="http://schemas.openxmlformats.org/officeDocument/2006/relationships/image" Target="media/6ae261d6555d56c19e75cf0d26e91e317ed3c100.png"/><Relationship Id="rId18" Type="http://schemas.openxmlformats.org/officeDocument/2006/relationships/image" Target="media/feb74efb22b0d790c50c159679643d48554cc1dc.png"/><Relationship Id="rId19" Type="http://schemas.openxmlformats.org/officeDocument/2006/relationships/image" Target="media/50b4c0f64b0faa822aaab23bbbb20d5a5cd82ddf.png"/><Relationship Id="rId20" Type="http://schemas.openxmlformats.org/officeDocument/2006/relationships/image" Target="media/7d260c681839b4898b4bfac77cb6e31c8a68c77c.png"/><Relationship Id="rId21" Type="http://schemas.openxmlformats.org/officeDocument/2006/relationships/image" Target="media/3f83a7b3edcfbadec8889649020f8933745139b2.png"/><Relationship Id="rId22" Type="http://schemas.openxmlformats.org/officeDocument/2006/relationships/image" Target="media/0852a2c11f2cc83d8837a9f185d27e830cbc994c.png"/><Relationship Id="rId23" Type="http://schemas.openxmlformats.org/officeDocument/2006/relationships/image" Target="media/e072d0d6d378a1165caa23c8b5f138288207aa57.png"/><Relationship Id="rId24" Type="http://schemas.openxmlformats.org/officeDocument/2006/relationships/image" Target="media/d67448c453428361d4e2a603d36060cb439d94bf.png"/><Relationship Id="rId25" Type="http://schemas.openxmlformats.org/officeDocument/2006/relationships/image" Target="media/ca74b0c40eaacc4a7280cbb02ddd129dca932e8b.png"/><Relationship Id="rId26" Type="http://schemas.openxmlformats.org/officeDocument/2006/relationships/image" Target="media/d388a540b4c861fe5bc83e36107f3315b0f901d0.png"/><Relationship Id="rId27" Type="http://schemas.openxmlformats.org/officeDocument/2006/relationships/image" Target="media/dc86e7aeb8fd0301e736fabe5540c36523114734.png"/><Relationship Id="rId28" Type="http://schemas.openxmlformats.org/officeDocument/2006/relationships/image" Target="media/05a684697d736c43ff83c04de834a1d593068250.png"/><Relationship Id="rId29" Type="http://schemas.openxmlformats.org/officeDocument/2006/relationships/image" Target="media/cab964504433c537ad6c40551b0b7017cc9930c6.png"/><Relationship Id="rId30" Type="http://schemas.openxmlformats.org/officeDocument/2006/relationships/image" Target="media/41771efed2044c40783ba1121c6e1d5d6c3bf0e6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SecretsPay — Feature flowcharts</dc:title>
  <dc:creator>SecretsPay</dc:creator>
  <cp:lastModifiedBy>Un-named</cp:lastModifiedBy>
  <cp:revision>1</cp:revision>
  <dcterms:created xsi:type="dcterms:W3CDTF">2026-09-17T19:32:50.632Z</dcterms:created>
  <dcterms:modified xsi:type="dcterms:W3CDTF">2026-09-17T19:32:50.652Z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