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de-DE"/>
        </w:rPr>
        <w:t>Pflichtenheft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de-DE"/>
        </w:rPr>
        <w:t xml:space="preserve">Introduction of CAMPAIGN 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de-DE"/>
        </w:rPr>
        <w:t xml:space="preserve">– 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de-DE"/>
        </w:rPr>
        <w:t>Einf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de-DE"/>
        </w:rPr>
        <w:t>ü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de-DE"/>
        </w:rPr>
        <w:t>hrung der Versuchsnummer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in DIAdem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de-DE"/>
        </w:rPr>
        <w:t xml:space="preserve">  </w:t>
      </w:r>
    </w:p>
    <w:tbl>
      <w:tblPr>
        <w:tblW w:w="750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70"/>
        <w:gridCol w:w="1560"/>
        <w:gridCol w:w="1890"/>
        <w:gridCol w:w="2888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1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de-DE"/>
              </w:rPr>
              <w:t xml:space="preserve">Version </w:t>
            </w:r>
          </w:p>
        </w:tc>
        <w:tc>
          <w:tcPr>
            <w:tcW w:type="dxa" w:w="15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 xml:space="preserve">Datum </w:t>
            </w:r>
          </w:p>
        </w:tc>
        <w:tc>
          <w:tcPr>
            <w:tcW w:type="dxa" w:w="189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>Author</w:t>
            </w:r>
          </w:p>
        </w:tc>
        <w:tc>
          <w:tcPr>
            <w:tcW w:type="dxa" w:w="2888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de-DE"/>
              </w:rPr>
              <w:t>Bemerkung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1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de-DE"/>
              </w:rPr>
              <w:t>0.0</w:t>
            </w:r>
          </w:p>
        </w:tc>
        <w:tc>
          <w:tcPr>
            <w:tcW w:type="dxa" w:w="15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e-DE"/>
              </w:rPr>
              <w:t>2018-04-13</w:t>
            </w:r>
          </w:p>
        </w:tc>
        <w:tc>
          <w:tcPr>
            <w:tcW w:type="dxa" w:w="189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e-DE"/>
              </w:rPr>
              <w:t>M. Mailand</w:t>
            </w:r>
          </w:p>
        </w:tc>
        <w:tc>
          <w:tcPr>
            <w:tcW w:type="dxa" w:w="2888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e-DE"/>
              </w:rPr>
              <w:t>Erste Version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1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de-DE"/>
              </w:rPr>
              <w:t>0.1</w:t>
            </w:r>
          </w:p>
        </w:tc>
        <w:tc>
          <w:tcPr>
            <w:tcW w:type="dxa" w:w="15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e-DE"/>
              </w:rPr>
              <w:t>2018-06-18</w:t>
            </w:r>
          </w:p>
        </w:tc>
        <w:tc>
          <w:tcPr>
            <w:tcW w:type="dxa" w:w="189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e-DE"/>
              </w:rPr>
              <w:t>M. Mailand</w:t>
            </w:r>
          </w:p>
        </w:tc>
        <w:tc>
          <w:tcPr>
            <w:tcW w:type="dxa" w:w="2888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de-DE"/>
              </w:rPr>
              <w:t>Pr</w:t>
            </w:r>
            <w:r>
              <w:rPr>
                <w:rtl w:val="0"/>
                <w:lang w:val="de-DE"/>
              </w:rPr>
              <w:t>ä</w:t>
            </w:r>
            <w:r>
              <w:rPr>
                <w:rtl w:val="0"/>
                <w:lang w:val="de-DE"/>
              </w:rPr>
              <w:t>zisierungen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17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8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0" w:line="240" w:lineRule="auto"/>
        <w:jc w:val="center"/>
      </w:pPr>
    </w:p>
    <w:p>
      <w:pPr>
        <w:pStyle w:val="Body"/>
        <w:spacing w:after="0" w:line="240" w:lineRule="auto"/>
        <w:rPr>
          <w:lang w:val="de-DE"/>
        </w:rPr>
      </w:pPr>
    </w:p>
    <w:p>
      <w:pPr>
        <w:pStyle w:val="Heading"/>
      </w:pPr>
      <w:r>
        <w:rPr>
          <w:rtl w:val="0"/>
          <w:lang w:val="de-DE"/>
        </w:rPr>
        <w:t>Zusammenfassung</w:t>
      </w:r>
    </w:p>
    <w:p>
      <w:pPr>
        <w:pStyle w:val="Body"/>
        <w:spacing w:after="0" w:line="240" w:lineRule="auto"/>
        <w:rPr>
          <w:lang w:val="de-DE"/>
        </w:rPr>
      </w:pPr>
    </w:p>
    <w:p>
      <w:pPr>
        <w:pStyle w:val="Body"/>
        <w:spacing w:after="0" w:line="240" w:lineRule="auto"/>
      </w:pPr>
      <w:r>
        <w:rPr>
          <w:rtl w:val="0"/>
          <w:lang w:val="de-DE"/>
        </w:rPr>
        <w:t>In den Laboren der ABB Schweiz AG wurde am 1.1.2018 eine Versuchsnummer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hrt, welche der Identifizierung von zusammengeh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renden Messungen in den Laboren dienen soll. </w:t>
      </w:r>
    </w:p>
    <w:p>
      <w:pPr>
        <w:pStyle w:val="Body"/>
        <w:spacing w:after="0" w:line="240" w:lineRule="auto"/>
      </w:pPr>
      <w:r>
        <w:rPr>
          <w:rtl w:val="0"/>
          <w:lang w:val="de-DE"/>
        </w:rPr>
        <w:t>Diese Nummer wird im Dateisystem als Name eines Ordners verwendet und alle dazugeh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renden Messdaten sollen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diese Nummer, die auch Buchstaben und Satzzeichen enth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lt, identifiziert werden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Die Nummer wird in allen, nach dem 1.1.2018 aufgezeichneten Messdaten in der RBA-Datei bzw. an anderen geeigneten Stellen wie z.B. im TNS abgespeichert.</w:t>
      </w:r>
    </w:p>
    <w:p>
      <w:pPr>
        <w:pStyle w:val="Body"/>
        <w:spacing w:after="0" w:line="240" w:lineRule="auto"/>
        <w:rPr>
          <w:lang w:val="de-DE"/>
        </w:rPr>
      </w:pPr>
    </w:p>
    <w:p>
      <w:pPr>
        <w:pStyle w:val="Body"/>
        <w:spacing w:after="0" w:line="240" w:lineRule="auto"/>
      </w:pPr>
      <w:r>
        <w:rPr>
          <w:rtl w:val="0"/>
          <w:lang w:val="de-DE"/>
        </w:rPr>
        <w:t>Die Einf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hrung der neuen Nummer hat Auswirkungen auf alle DIAdem-Programme und auf alle Arbeitsanweisungen und Dokumentationen. Man muss alle Stellen suchen, anpassen und das Zusammenspiel aller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nderungen testen und alle Auswirkungen auf die Kundschaft ber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cksichtigen.</w:t>
      </w:r>
    </w:p>
    <w:p>
      <w:pPr>
        <w:pStyle w:val="Body"/>
        <w:spacing w:after="0" w:line="240" w:lineRule="auto"/>
        <w:rPr>
          <w:lang w:val="de-DE"/>
        </w:rPr>
      </w:pPr>
    </w:p>
    <w:p>
      <w:pPr>
        <w:pStyle w:val="Body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Das bestehende System soll so erweitert werden, dass die Eingabe von Versuchsnummer/CAMPAIGN, alter Seriennummer oder PEHLA-Nummer m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ö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glich ist und alle gew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ü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nschten Funktionalit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ä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ten zus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ä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tzlich im bestehenden System implementiert werden.</w:t>
      </w:r>
    </w:p>
    <w:p>
      <w:pPr>
        <w:pStyle w:val="Body"/>
        <w:spacing w:after="0" w:line="240" w:lineRule="auto"/>
        <w:rPr>
          <w:lang w:val="de-DE"/>
        </w:rPr>
      </w:pPr>
    </w:p>
    <w:p>
      <w:pPr>
        <w:pStyle w:val="Body"/>
      </w:pPr>
      <w:r>
        <w:rPr>
          <w:rtl w:val="0"/>
          <w:lang w:val="de-DE"/>
        </w:rPr>
        <w:t>In DIAdem-Programmen muss die aktuelle Funktionalit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t erhalten bleiben bzw. weiterhin gewartet und getestet werden, da man auch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ltere Testdaten ohne CAMPAIGN problemlos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ffnen und darstellen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 muss.  </w:t>
      </w:r>
    </w:p>
    <w:p>
      <w:pPr>
        <w:pStyle w:val="Body"/>
      </w:pPr>
      <w:r>
        <w:rPr>
          <w:rtl w:val="0"/>
          <w:lang w:val="de-DE"/>
        </w:rPr>
        <w:t>Dieses Pflichtenheft fasst alle Aufgaben zusammen, die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Anpassung unserer aktuellen DIAdem-Umgebung implementiert werden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ssen. Die aktuellen Funktionalit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ten werden ebenfalls mit erw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hnt, wenn sie ben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tigt werden um alle Messdaten verwenden zu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nnen, die vor dem 1.1.2018 erstellt worden sind. </w:t>
      </w:r>
    </w:p>
    <w:p>
      <w:pPr>
        <w:pStyle w:val="Body"/>
        <w:rPr>
          <w:lang w:val="de-DE"/>
        </w:rPr>
      </w:pPr>
    </w:p>
    <w:p>
      <w:pPr>
        <w:pStyle w:val="Body"/>
        <w:spacing w:before="480" w:after="300" w:line="240" w:lineRule="auto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Tabelle 1: Aktuell verwendete Begriffe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22"/>
        <w:gridCol w:w="1409"/>
        <w:gridCol w:w="2106"/>
        <w:gridCol w:w="1772"/>
        <w:gridCol w:w="2051"/>
      </w:tblGrid>
      <w:tr>
        <w:tblPrEx>
          <w:shd w:val="clear" w:color="auto" w:fill="d0ddef"/>
        </w:tblPrEx>
        <w:trPr>
          <w:trHeight w:val="467" w:hRule="atLeast"/>
        </w:trPr>
        <w:tc>
          <w:tcPr>
            <w:tcW w:type="dxa" w:w="2022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Begriff im Versuchsbetrieb</w:t>
            </w:r>
          </w:p>
        </w:tc>
        <w:tc>
          <w:tcPr>
            <w:tcW w:type="dxa" w:w="1408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Begriff im Test Report</w:t>
            </w:r>
          </w:p>
        </w:tc>
        <w:tc>
          <w:tcPr>
            <w:tcW w:type="dxa" w:w="21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Bezeichnung im SS2</w:t>
            </w:r>
          </w:p>
        </w:tc>
        <w:tc>
          <w:tcPr>
            <w:tcW w:type="dxa" w:w="177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Funktion</w:t>
            </w:r>
          </w:p>
        </w:tc>
        <w:tc>
          <w:tcPr>
            <w:tcW w:type="dxa" w:w="205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Bedeutung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2022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Versuchsnummer</w:t>
            </w:r>
          </w:p>
        </w:tc>
        <w:tc>
          <w:tcPr>
            <w:tcW w:type="dxa" w:w="1408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SERIES / CAMPAIGN</w:t>
            </w:r>
          </w:p>
        </w:tc>
        <w:tc>
          <w:tcPr>
            <w:tcW w:type="dxa" w:w="177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de-DE"/>
              </w:rPr>
              <w:t>Ordnername f</w:t>
            </w:r>
            <w:r>
              <w:rPr>
                <w:sz w:val="20"/>
                <w:szCs w:val="20"/>
                <w:rtl w:val="0"/>
                <w:lang w:val="de-DE"/>
              </w:rPr>
              <w:t>ü</w:t>
            </w:r>
            <w:r>
              <w:rPr>
                <w:sz w:val="20"/>
                <w:szCs w:val="20"/>
                <w:rtl w:val="0"/>
                <w:lang w:val="de-DE"/>
              </w:rPr>
              <w:t>r Rohdaten im SS2-Datenordner (c:data</w:t>
            </w:r>
            <w:r>
              <w:rPr>
                <w:sz w:val="20"/>
                <w:szCs w:val="20"/>
                <w:rtl w:val="0"/>
                <w:lang w:val="de-DE"/>
              </w:rPr>
              <w:t>…</w:t>
            </w:r>
            <w:r>
              <w:rPr>
                <w:sz w:val="20"/>
                <w:szCs w:val="20"/>
                <w:rtl w:val="0"/>
                <w:lang w:val="de-DE"/>
              </w:rPr>
              <w:t>)</w:t>
            </w:r>
          </w:p>
        </w:tc>
        <w:tc>
          <w:tcPr>
            <w:tcW w:type="dxa" w:w="205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thematisch zusammengeh</w:t>
            </w:r>
            <w:r>
              <w:rPr>
                <w:sz w:val="20"/>
                <w:szCs w:val="20"/>
                <w:rtl w:val="0"/>
                <w:lang w:val="en-US"/>
              </w:rPr>
              <w:t>ö</w:t>
            </w:r>
            <w:r>
              <w:rPr>
                <w:sz w:val="20"/>
                <w:szCs w:val="20"/>
                <w:rtl w:val="0"/>
                <w:lang w:val="en-US"/>
              </w:rPr>
              <w:t>rende Messdaten</w:t>
            </w:r>
          </w:p>
        </w:tc>
      </w:tr>
      <w:tr>
        <w:tblPrEx>
          <w:shd w:val="clear" w:color="auto" w:fill="d0ddef"/>
        </w:tblPrEx>
        <w:trPr>
          <w:trHeight w:val="670" w:hRule="atLeast"/>
        </w:trPr>
        <w:tc>
          <w:tcPr>
            <w:tcW w:type="dxa" w:w="2022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Seriennummer</w:t>
            </w:r>
          </w:p>
        </w:tc>
        <w:tc>
          <w:tcPr>
            <w:tcW w:type="dxa" w:w="1408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Test-No.</w:t>
            </w:r>
          </w:p>
        </w:tc>
        <w:tc>
          <w:tcPr>
            <w:tcW w:type="dxa" w:w="21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Serial Number, SN</w:t>
            </w:r>
          </w:p>
        </w:tc>
        <w:tc>
          <w:tcPr>
            <w:tcW w:type="dxa" w:w="177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de-DE"/>
              </w:rPr>
              <w:t>Teil des Dateinamens f</w:t>
            </w:r>
            <w:r>
              <w:rPr>
                <w:sz w:val="20"/>
                <w:szCs w:val="20"/>
                <w:rtl w:val="0"/>
                <w:lang w:val="de-DE"/>
              </w:rPr>
              <w:t>ü</w:t>
            </w:r>
            <w:r>
              <w:rPr>
                <w:sz w:val="20"/>
                <w:szCs w:val="20"/>
                <w:rtl w:val="0"/>
                <w:lang w:val="de-DE"/>
              </w:rPr>
              <w:t>r Rebadas-Export</w:t>
            </w:r>
          </w:p>
        </w:tc>
        <w:tc>
          <w:tcPr>
            <w:tcW w:type="dxa" w:w="205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Rebadas-Seriennummer</w:t>
            </w:r>
          </w:p>
        </w:tc>
      </w:tr>
      <w:tr>
        <w:tblPrEx>
          <w:shd w:val="clear" w:color="auto" w:fill="d0ddef"/>
        </w:tblPrEx>
        <w:trPr>
          <w:trHeight w:val="670" w:hRule="atLeast"/>
        </w:trPr>
        <w:tc>
          <w:tcPr>
            <w:tcW w:type="dxa" w:w="2022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Testnummer, Osc-Nr., Schuss</w:t>
            </w:r>
          </w:p>
        </w:tc>
        <w:tc>
          <w:tcPr>
            <w:tcW w:type="dxa" w:w="1408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Osc.-No.</w:t>
            </w:r>
          </w:p>
        </w:tc>
        <w:tc>
          <w:tcPr>
            <w:tcW w:type="dxa" w:w="21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Test Number, TN, PROJECT</w:t>
            </w:r>
          </w:p>
        </w:tc>
        <w:tc>
          <w:tcPr>
            <w:tcW w:type="dxa" w:w="177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de-DE"/>
              </w:rPr>
              <w:t>Teil des Dateinamens f</w:t>
            </w:r>
            <w:r>
              <w:rPr>
                <w:sz w:val="20"/>
                <w:szCs w:val="20"/>
                <w:rtl w:val="0"/>
                <w:lang w:val="de-DE"/>
              </w:rPr>
              <w:t>ü</w:t>
            </w:r>
            <w:r>
              <w:rPr>
                <w:sz w:val="20"/>
                <w:szCs w:val="20"/>
                <w:rtl w:val="0"/>
                <w:lang w:val="de-DE"/>
              </w:rPr>
              <w:t>r Rebadas-Export</w:t>
            </w:r>
          </w:p>
        </w:tc>
        <w:tc>
          <w:tcPr>
            <w:tcW w:type="dxa" w:w="205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Rebadas-Testnummer</w:t>
            </w:r>
          </w:p>
        </w:tc>
      </w:tr>
      <w:tr>
        <w:tblPrEx>
          <w:shd w:val="clear" w:color="auto" w:fill="d0ddef"/>
        </w:tblPrEx>
        <w:trPr>
          <w:trHeight w:val="1110" w:hRule="atLeast"/>
        </w:trPr>
        <w:tc>
          <w:tcPr>
            <w:tcW w:type="dxa" w:w="2022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PEHLA-Nummer</w:t>
            </w:r>
          </w:p>
        </w:tc>
        <w:tc>
          <w:tcPr>
            <w:tcW w:type="dxa" w:w="1408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PEHLA Nr.</w:t>
            </w:r>
          </w:p>
        </w:tc>
        <w:tc>
          <w:tcPr>
            <w:tcW w:type="dxa" w:w="21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PEHLA-SN</w:t>
            </w:r>
          </w:p>
        </w:tc>
        <w:tc>
          <w:tcPr>
            <w:tcW w:type="dxa" w:w="177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de-DE"/>
              </w:rPr>
              <w:t>Vom PEHLA-B</w:t>
            </w:r>
            <w:r>
              <w:rPr>
                <w:sz w:val="20"/>
                <w:szCs w:val="20"/>
                <w:rtl w:val="0"/>
                <w:lang w:val="de-DE"/>
              </w:rPr>
              <w:t>ü</w:t>
            </w:r>
            <w:r>
              <w:rPr>
                <w:sz w:val="20"/>
                <w:szCs w:val="20"/>
                <w:rtl w:val="0"/>
                <w:lang w:val="de-DE"/>
              </w:rPr>
              <w:t>ro vorgegebene SN</w:t>
            </w:r>
          </w:p>
        </w:tc>
        <w:tc>
          <w:tcPr>
            <w:tcW w:type="dxa" w:w="205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de-DE"/>
              </w:rPr>
              <w:t>Diese Nummer muss f</w:t>
            </w:r>
            <w:r>
              <w:rPr>
                <w:sz w:val="20"/>
                <w:szCs w:val="20"/>
                <w:rtl w:val="0"/>
                <w:lang w:val="de-DE"/>
              </w:rPr>
              <w:t>ü</w:t>
            </w:r>
            <w:r>
              <w:rPr>
                <w:sz w:val="20"/>
                <w:szCs w:val="20"/>
                <w:rtl w:val="0"/>
                <w:lang w:val="de-DE"/>
              </w:rPr>
              <w:t>r die Identifikation von PEHLA-Testreports verwendet werden.</w:t>
            </w:r>
          </w:p>
        </w:tc>
      </w:tr>
      <w:tr>
        <w:tblPrEx>
          <w:shd w:val="clear" w:color="auto" w:fill="d0ddef"/>
        </w:tblPrEx>
        <w:trPr>
          <w:trHeight w:val="670" w:hRule="atLeast"/>
        </w:trPr>
        <w:tc>
          <w:tcPr>
            <w:tcW w:type="dxa" w:w="2022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SN18</w:t>
            </w:r>
          </w:p>
        </w:tc>
        <w:tc>
          <w:tcPr>
            <w:tcW w:type="dxa" w:w="1408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0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de-DE"/>
              </w:rPr>
              <w:t>Serial Number, SN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de-DE"/>
              </w:rPr>
              <w:t>Beginnt bei 18000000</w:t>
            </w:r>
          </w:p>
        </w:tc>
        <w:tc>
          <w:tcPr>
            <w:tcW w:type="dxa" w:w="1771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de-DE"/>
              </w:rPr>
              <w:t>Seriennummer, wird automatisch inkrementiert</w:t>
            </w:r>
          </w:p>
        </w:tc>
        <w:tc>
          <w:tcPr>
            <w:tcW w:type="dxa" w:w="2050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de-DE"/>
              </w:rPr>
              <w:t>f</w:t>
            </w:r>
            <w:r>
              <w:rPr>
                <w:sz w:val="20"/>
                <w:szCs w:val="20"/>
                <w:rtl w:val="0"/>
                <w:lang w:val="de-DE"/>
              </w:rPr>
              <w:t>ü</w:t>
            </w:r>
            <w:r>
              <w:rPr>
                <w:sz w:val="20"/>
                <w:szCs w:val="20"/>
                <w:rtl w:val="0"/>
                <w:lang w:val="de-DE"/>
              </w:rPr>
              <w:t>r die Bildung des Dateinamens, wie SN</w:t>
            </w:r>
          </w:p>
        </w:tc>
      </w:tr>
    </w:tbl>
    <w:p>
      <w:pPr>
        <w:pStyle w:val="Body"/>
        <w:widowControl w:val="0"/>
        <w:spacing w:before="480" w:after="300" w:line="240" w:lineRule="auto"/>
        <w:rPr>
          <w:sz w:val="30"/>
          <w:szCs w:val="30"/>
        </w:rPr>
      </w:pPr>
    </w:p>
    <w:p>
      <w:pPr>
        <w:pStyle w:val="Body"/>
        <w:spacing w:before="135" w:after="135" w:line="480" w:lineRule="auto"/>
        <w:rPr>
          <w:sz w:val="24"/>
          <w:szCs w:val="24"/>
          <w:lang w:val="de-DE"/>
        </w:rPr>
      </w:pPr>
    </w:p>
    <w:p>
      <w:pPr>
        <w:pStyle w:val="Heading"/>
      </w:pPr>
      <w:r>
        <w:rPr>
          <w:rtl w:val="0"/>
          <w:lang w:val="de-DE"/>
        </w:rPr>
        <w:t>Erweiterungen im DIAdem</w:t>
      </w:r>
    </w:p>
    <w:p>
      <w:pPr>
        <w:pStyle w:val="Body"/>
      </w:pPr>
      <w:r>
        <w:rPr>
          <w:rtl w:val="0"/>
          <w:lang w:val="de-DE"/>
        </w:rPr>
        <w:t>Alle DIAdem-Programme (Erweiterung .VBS sowie .SUD)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ssen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ft und so angepasst werden, dass man sie mit der neuen CAMPAIGN/Versuchsnummer sinnvoll verwenden kann. Oberste Priorit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haben alle Programme in der 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chsten Ebene des ABB-Men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s.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diese momentan sechs Programme sollten wir auch Validierungsdokumente erstellen. </w:t>
      </w:r>
    </w:p>
    <w:p>
      <w:pPr>
        <w:pStyle w:val="Body"/>
      </w:pPr>
      <w:r>
        <w:rPr>
          <w:rtl w:val="0"/>
          <w:lang w:val="de-DE"/>
        </w:rPr>
        <w:t>Die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chstniedrigere Priorit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hat das Developer-Men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. Diese Programme sollten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berarbeitet und CAMPAIGN sollte eingepflegt werden, wo immer es sinnvoll und zeitnah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glich ist. Die Validierung muss nicht schriftlich dokumentiert werden. </w:t>
      </w:r>
    </w:p>
    <w:p>
      <w:pPr>
        <w:pStyle w:val="Body"/>
      </w:pPr>
      <w:r>
        <w:rPr>
          <w:rtl w:val="0"/>
          <w:lang w:val="de-DE"/>
        </w:rPr>
        <w:t>Die Dokumentationen von allen Programmen sollen an einem zentralen Ort einfach auffindbar abgelegt werden. Technische Details sollen in den Quellen selbst als Kommentare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werden.</w:t>
      </w:r>
    </w:p>
    <w:p>
      <w:pPr>
        <w:pStyle w:val="Body"/>
        <w:rPr>
          <w:lang w:val="de-DE"/>
        </w:rPr>
      </w:pPr>
    </w:p>
    <w:p>
      <w:pPr>
        <w:pStyle w:val="Heading 2"/>
      </w:pPr>
      <w:r>
        <w:rPr>
          <w:rtl w:val="0"/>
          <w:lang w:val="de-DE"/>
        </w:rPr>
        <w:t>Erweiterung der Eingabem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</w:t>
      </w:r>
    </w:p>
    <w:p>
      <w:pPr>
        <w:pStyle w:val="Body"/>
      </w:pPr>
      <w:r>
        <w:rPr>
          <w:rtl w:val="0"/>
          <w:lang w:val="de-DE"/>
        </w:rPr>
        <w:t xml:space="preserve">In den Programmen </w:t>
      </w:r>
      <w:r>
        <w:rPr>
          <w:rtl w:val="0"/>
          <w:lang w:val="de-DE"/>
        </w:rPr>
        <w:t>‚</w:t>
      </w:r>
      <w:r>
        <w:rPr>
          <w:rtl w:val="0"/>
          <w:lang w:val="de-DE"/>
        </w:rPr>
        <w:t>Load Test Data</w:t>
      </w:r>
      <w:r>
        <w:rPr>
          <w:rtl w:val="0"/>
          <w:lang w:val="de-DE"/>
        </w:rPr>
        <w:t xml:space="preserve">‘ </w:t>
      </w:r>
      <w:r>
        <w:rPr>
          <w:rtl w:val="0"/>
          <w:lang w:val="de-DE"/>
        </w:rPr>
        <w:t xml:space="preserve">und evtl. </w:t>
      </w:r>
      <w:r>
        <w:rPr>
          <w:rtl w:val="0"/>
          <w:lang w:val="de-DE"/>
        </w:rPr>
        <w:t>‚</w:t>
      </w:r>
      <w:r>
        <w:rPr>
          <w:rtl w:val="0"/>
          <w:lang w:val="de-DE"/>
        </w:rPr>
        <w:t>Load Test Data (old)</w:t>
      </w:r>
      <w:r>
        <w:rPr>
          <w:rtl w:val="0"/>
          <w:lang w:val="de-DE"/>
        </w:rPr>
        <w:t xml:space="preserve">‘ </w:t>
      </w:r>
      <w:r>
        <w:rPr>
          <w:rtl w:val="0"/>
          <w:lang w:val="de-DE"/>
        </w:rPr>
        <w:t>muss die Eingabem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 auf CAMPAIGN erweitert werden. In einem MOCKUP wurde bereits ein Vorschlag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das neue GUI pr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sentiert. Sobald brauchbare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sungen vorhanden sind muss ausgiebig getestet werden. Schwerpunkt bei den Tests sind alle GUI-Fehleingaben und die Reaktion der Software. Ausserdem sollen die Fehlermeldungen dahingehend verbessert werden, dass die Benutzer bessere Informationen zum Grund erhalten.</w:t>
      </w:r>
    </w:p>
    <w:p>
      <w:pPr>
        <w:pStyle w:val="Body"/>
        <w:rPr>
          <w:lang w:val="de-DE"/>
        </w:rPr>
      </w:pPr>
    </w:p>
    <w:p>
      <w:pPr>
        <w:pStyle w:val="Heading 2"/>
      </w:pPr>
      <w:r>
        <w:rPr>
          <w:rtl w:val="0"/>
          <w:lang w:val="de-DE"/>
        </w:rPr>
        <w:t>Erweiterung der Funktionalit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im Create Plot</w:t>
      </w:r>
    </w:p>
    <w:p>
      <w:pPr>
        <w:pStyle w:val="Body"/>
      </w:pPr>
      <w:r>
        <w:rPr>
          <w:rtl w:val="0"/>
          <w:lang w:val="de-DE"/>
        </w:rPr>
        <w:t xml:space="preserve">Das Programm </w:t>
      </w:r>
      <w:r>
        <w:rPr>
          <w:rtl w:val="0"/>
          <w:lang w:val="de-DE"/>
        </w:rPr>
        <w:t>‚</w:t>
      </w:r>
      <w:r>
        <w:rPr>
          <w:rtl w:val="0"/>
          <w:lang w:val="de-DE"/>
        </w:rPr>
        <w:t>Create Plot</w:t>
      </w:r>
      <w:r>
        <w:rPr>
          <w:rtl w:val="0"/>
          <w:lang w:val="de-DE"/>
        </w:rPr>
        <w:t xml:space="preserve">‘ </w:t>
      </w:r>
      <w:r>
        <w:rPr>
          <w:rtl w:val="0"/>
          <w:lang w:val="de-DE"/>
        </w:rPr>
        <w:t>muss um die Eingabem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glichkeit von CAMPAIGN anstelle von SN bzw. PEHLA erweitert werden. Es muss die jeweils korrekte Nummer auf den Ausgabedokumenten angezeigt werden. </w:t>
      </w:r>
    </w:p>
    <w:p>
      <w:pPr>
        <w:pStyle w:val="Body"/>
      </w:pPr>
      <w:r>
        <w:rPr>
          <w:rtl w:val="0"/>
          <w:lang w:val="de-DE"/>
        </w:rPr>
        <w:t xml:space="preserve">In PEHLA-Plots muss die PEHLA-Nummer an der Stelle der Seriennummer angezeigt werden. </w:t>
      </w:r>
    </w:p>
    <w:p>
      <w:pPr>
        <w:pStyle w:val="Body"/>
      </w:pPr>
      <w:r>
        <w:rPr>
          <w:rtl w:val="0"/>
          <w:lang w:val="de-DE"/>
        </w:rPr>
        <w:t xml:space="preserve">In ABB-Plots muss die alte Seriennummer oder, falls vorhanden die CAMPAIGN an der Stelle der Seriennummer angezeigt werden. </w:t>
      </w:r>
    </w:p>
    <w:p>
      <w:pPr>
        <w:pStyle w:val="Body"/>
      </w:pPr>
      <w:r>
        <w:rPr>
          <w:rtl w:val="0"/>
          <w:lang w:val="de-DE"/>
        </w:rPr>
        <w:t>Die in Zukunft automatisch vom TNS erzeugte SN18 wird nicht auf Plots ausgegeben. Sie dient nur zur Referenzierung der Messdaten.</w:t>
      </w:r>
    </w:p>
    <w:p>
      <w:pPr>
        <w:pStyle w:val="Body"/>
        <w:rPr>
          <w:lang w:val="de-DE"/>
        </w:rPr>
      </w:pPr>
    </w:p>
    <w:p>
      <w:pPr>
        <w:pStyle w:val="Heading 2"/>
      </w:pPr>
      <w:r>
        <w:rPr>
          <w:rtl w:val="0"/>
          <w:lang w:val="de-DE"/>
        </w:rPr>
        <w:t xml:space="preserve">Temp Data Update </w:t>
      </w:r>
    </w:p>
    <w:p>
      <w:pPr>
        <w:pStyle w:val="Heading 2"/>
      </w:pPr>
      <w:r>
        <w:rPr>
          <w:rtl w:val="0"/>
          <w:lang w:val="de-DE"/>
        </w:rPr>
        <w:t xml:space="preserve">Vorlagen der Test Reports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berarbeiten  </w:t>
      </w:r>
    </w:p>
    <w:p>
      <w:pPr>
        <w:pStyle w:val="Body"/>
      </w:pPr>
      <w:r>
        <w:rPr>
          <w:rtl w:val="0"/>
          <w:lang w:val="de-DE"/>
        </w:rPr>
        <w:t>Unsere Vorlagen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Type Test Reports (ABB- oder PEHLA-Type Tests)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 automatisiert werden, indem Werte wie CAMPAIGN und andere Informationen aus den RBA-Dateien automatisch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bertragen werden. Auf jeden Fall muss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ft werden, ob die neuen Plots mittels PlotInclude immer noch korrekt in die Type Test Reports (TTR)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werden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 und die Abbildungen korrekt in den TTR-Ausdrucken erscheinen. </w:t>
      </w:r>
    </w:p>
    <w:p>
      <w:pPr>
        <w:pStyle w:val="Body"/>
        <w:rPr>
          <w:lang w:val="de-DE"/>
        </w:rPr>
      </w:pPr>
    </w:p>
    <w:p>
      <w:pPr>
        <w:pStyle w:val="Heading 2"/>
      </w:pPr>
      <w:r>
        <w:rPr>
          <w:rtl w:val="0"/>
          <w:lang w:val="de-DE"/>
        </w:rPr>
        <w:t xml:space="preserve">Eliminierung der </w:t>
      </w:r>
      <w:r>
        <w:rPr>
          <w:rtl w:val="0"/>
          <w:lang w:val="de-DE"/>
        </w:rPr>
        <w:t>‘</w:t>
      </w:r>
      <w:r>
        <w:rPr>
          <w:rtl w:val="0"/>
          <w:lang w:val="de-DE"/>
        </w:rPr>
        <w:t>Product Groups</w:t>
      </w:r>
      <w:r>
        <w:rPr>
          <w:rtl w:val="0"/>
          <w:lang w:val="de-DE"/>
        </w:rPr>
        <w:t>’</w:t>
      </w:r>
    </w:p>
    <w:p>
      <w:pPr>
        <w:pStyle w:val="Body"/>
      </w:pPr>
      <w:r>
        <w:rPr>
          <w:rtl w:val="0"/>
          <w:lang w:val="de-DE"/>
        </w:rPr>
        <w:t>Die alte Ablagestruktur mit der Einteilung in Product Groups soll durch eine neue Ablagestruktur ersetzt werden. Das hat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glicherweise auch Auswirkungen auf </w:t>
      </w:r>
      <w:r>
        <w:rPr>
          <w:rtl w:val="0"/>
          <w:lang w:val="de-DE"/>
        </w:rPr>
        <w:t>‚</w:t>
      </w:r>
      <w:r>
        <w:rPr>
          <w:rtl w:val="0"/>
          <w:lang w:val="de-DE"/>
        </w:rPr>
        <w:t>Load Test Data</w:t>
      </w:r>
      <w:r>
        <w:rPr>
          <w:rtl w:val="0"/>
          <w:lang w:val="de-DE"/>
        </w:rPr>
        <w:t>‘</w:t>
      </w:r>
      <w:r>
        <w:rPr>
          <w:rtl w:val="0"/>
          <w:lang w:val="de-DE"/>
        </w:rPr>
        <w:t>. Wenn es mit der neuen Ablagestruktur gelingen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rde den Pfadnamen aus der Seriennummer oder CAMPAIGN abzuleiten, dann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nnten wir Messdaten auch ohne DFSE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ffnen und Fehler unserer Server 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rden die Gesamtzuverl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ssigkeit des Systems weniger beeintr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chtigen. Momentan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Messdaten im DIAdem nicht ge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ffnet werden, wenn das Windows-Serverbetriebssystem auf welchem der DFSE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uft nicht korrekt funktioniert. </w:t>
      </w:r>
    </w:p>
    <w:p>
      <w:pPr>
        <w:pStyle w:val="Body"/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Eliminierung der </w:t>
      </w:r>
      <w:r>
        <w:rPr>
          <w:rtl w:val="0"/>
          <w:lang w:val="de-DE"/>
        </w:rPr>
        <w:t>‚</w:t>
      </w:r>
      <w:r>
        <w:rPr>
          <w:rtl w:val="0"/>
          <w:lang w:val="de-DE"/>
        </w:rPr>
        <w:t>Product Groups</w:t>
      </w:r>
      <w:r>
        <w:rPr>
          <w:rtl w:val="0"/>
          <w:lang w:val="de-DE"/>
        </w:rPr>
        <w:t xml:space="preserve">‘ </w:t>
      </w:r>
      <w:r>
        <w:rPr>
          <w:rtl w:val="0"/>
          <w:lang w:val="de-DE"/>
        </w:rPr>
        <w:t>ist es notwendig alle Programme in denen Messdaten ge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ffnet werden zu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berarbeiten.</w:t>
      </w:r>
    </w:p>
    <w:p>
      <w:pPr>
        <w:pStyle w:val="Body"/>
        <w:rPr>
          <w:lang w:val="de-DE"/>
        </w:rPr>
      </w:pPr>
    </w:p>
    <w:p>
      <w:pPr>
        <w:pStyle w:val="Heading 2"/>
      </w:pPr>
      <w:r>
        <w:rPr>
          <w:rtl w:val="0"/>
          <w:lang w:val="de-DE"/>
        </w:rPr>
        <w:t>Ü</w:t>
      </w:r>
      <w:r>
        <w:rPr>
          <w:rtl w:val="0"/>
          <w:lang w:val="de-DE"/>
        </w:rPr>
        <w:t>berarbeitung der Datenablage</w:t>
      </w:r>
    </w:p>
    <w:p>
      <w:pPr>
        <w:pStyle w:val="Body"/>
      </w:pPr>
      <w:r>
        <w:rPr>
          <w:rtl w:val="0"/>
          <w:lang w:val="de-DE"/>
        </w:rPr>
        <w:t xml:space="preserve">Mit Hilfe der Programme </w:t>
      </w:r>
      <w:r>
        <w:rPr>
          <w:rtl w:val="0"/>
          <w:lang w:val="de-DE"/>
        </w:rPr>
        <w:t>‚</w:t>
      </w:r>
      <w:r>
        <w:rPr>
          <w:rtl w:val="0"/>
          <w:lang w:val="de-DE"/>
        </w:rPr>
        <w:t>project manager</w:t>
      </w:r>
      <w:r>
        <w:rPr>
          <w:rtl w:val="0"/>
          <w:lang w:val="de-DE"/>
        </w:rPr>
        <w:t xml:space="preserve">‘ </w:t>
      </w:r>
      <w:r>
        <w:rPr>
          <w:rtl w:val="0"/>
          <w:lang w:val="de-DE"/>
        </w:rPr>
        <w:t xml:space="preserve">und </w:t>
      </w:r>
      <w:r>
        <w:rPr>
          <w:rtl w:val="0"/>
          <w:lang w:val="de-DE"/>
        </w:rPr>
        <w:t>‚</w:t>
      </w:r>
      <w:r>
        <w:rPr>
          <w:rtl w:val="0"/>
          <w:lang w:val="de-DE"/>
        </w:rPr>
        <w:t>project cleaner</w:t>
      </w:r>
      <w:r>
        <w:rPr>
          <w:rtl w:val="0"/>
          <w:lang w:val="de-DE"/>
        </w:rPr>
        <w:t xml:space="preserve">‘ </w:t>
      </w:r>
      <w:r>
        <w:rPr>
          <w:rtl w:val="0"/>
          <w:lang w:val="de-DE"/>
        </w:rPr>
        <w:t xml:space="preserve">sollen alle vorhandenen Messdaten  wieder einmal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berarbeitet werden. Da im Rahmen des Projekts </w:t>
      </w:r>
      <w:r>
        <w:rPr>
          <w:rtl w:val="0"/>
          <w:lang w:val="de-DE"/>
        </w:rPr>
        <w:t>‚</w:t>
      </w:r>
      <w:r>
        <w:rPr>
          <w:rtl w:val="0"/>
          <w:lang w:val="de-DE"/>
        </w:rPr>
        <w:t>Einf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hrung der CAMPAIGN/Versuchsnummer</w:t>
      </w:r>
      <w:r>
        <w:rPr>
          <w:rtl w:val="0"/>
          <w:lang w:val="de-DE"/>
        </w:rPr>
        <w:t xml:space="preserve">‘ </w:t>
      </w:r>
      <w:r>
        <w:rPr>
          <w:rtl w:val="0"/>
          <w:lang w:val="de-DE"/>
        </w:rPr>
        <w:t>der TNS ver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ndert wird,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auch die Variablennamen in den Reportdateien ge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ndert werden. Die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berarbeitung soll Fehler oder unterschiedliche Variablennamen auffinden und bereinigen. Kandidaten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sind PNAME (PEHLA), DOCLOC (CAMPAIGN, TNS_CAMPAIGN) und einige andere.</w:t>
      </w:r>
    </w:p>
    <w:p>
      <w:pPr>
        <w:pStyle w:val="Body"/>
        <w:rPr>
          <w:lang w:val="de-DE"/>
        </w:rPr>
      </w:pPr>
    </w:p>
    <w:p>
      <w:pPr>
        <w:pStyle w:val="Heading"/>
      </w:pPr>
      <w:r>
        <w:rPr>
          <w:rtl w:val="0"/>
          <w:lang w:val="de-DE"/>
        </w:rPr>
        <w:t>Aufbau eines CASO-Archives</w:t>
      </w:r>
    </w:p>
    <w:p>
      <w:pPr>
        <w:pStyle w:val="Body"/>
      </w:pPr>
      <w:r>
        <w:rPr>
          <w:rtl w:val="0"/>
          <w:lang w:val="de-DE"/>
        </w:rPr>
        <w:t xml:space="preserve">Im CASO-Archiv sollen alle Dateien abgelegt werden, die sich momentan im Verzeichnisbaum </w:t>
      </w:r>
      <w:r>
        <w:rPr>
          <w:rtl w:val="0"/>
          <w:lang w:val="de-DE"/>
        </w:rPr>
        <w:t>‚</w:t>
      </w:r>
      <w:r>
        <w:rPr>
          <w:rtl w:val="0"/>
          <w:lang w:val="de-DE"/>
        </w:rPr>
        <w:t>rbsarc</w:t>
      </w:r>
      <w:r>
        <w:rPr>
          <w:rtl w:val="0"/>
          <w:lang w:val="de-DE"/>
        </w:rPr>
        <w:t xml:space="preserve">‘ </w:t>
      </w:r>
      <w:r>
        <w:rPr>
          <w:rtl w:val="0"/>
          <w:lang w:val="de-DE"/>
        </w:rPr>
        <w:t>befinden. Diese Dateien werden bis anhin periodisch auf externe DVD</w:t>
      </w:r>
      <w:r>
        <w:rPr>
          <w:rtl w:val="0"/>
          <w:lang w:val="de-DE"/>
        </w:rPr>
        <w:t>’</w:t>
      </w:r>
      <w:r>
        <w:rPr>
          <w:rtl w:val="0"/>
          <w:lang w:val="de-DE"/>
        </w:rPr>
        <w:t xml:space="preserve">s, Harddiscs und auch Streamerkassetten kopiert um eine Kopie aller Messdaten ausserhalb unserer Server zu besitzen. Neu soll diese Aufgabe auf das CASO-Archiv ausgelagert werden. </w:t>
      </w:r>
    </w:p>
    <w:p>
      <w:pPr>
        <w:pStyle w:val="Body"/>
      </w:pPr>
      <w:r>
        <w:rPr>
          <w:rtl w:val="0"/>
          <w:lang w:val="de-DE"/>
        </w:rPr>
        <w:t xml:space="preserve">Vor der Inbetriebnahme des CASO-Archives sollte die neue Ablagestruktur definiert und die Dateiablage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berarbeitet worden sein, damit die neuesten Versionen der Daten archiviert werden. </w:t>
      </w:r>
    </w:p>
    <w:p>
      <w:pPr>
        <w:pStyle w:val="Heading"/>
      </w:pPr>
      <w:r>
        <w:rPr>
          <w:rtl w:val="0"/>
          <w:lang w:val="de-DE"/>
        </w:rPr>
        <w:t xml:space="preserve">  </w:t>
      </w:r>
    </w:p>
    <w:p>
      <w:pPr>
        <w:pStyle w:val="Heading"/>
      </w:pPr>
      <w:r>
        <w:rPr>
          <w:rtl w:val="0"/>
          <w:lang w:val="de-DE"/>
        </w:rPr>
        <w:t>Ü</w:t>
      </w:r>
      <w:r>
        <w:rPr>
          <w:rtl w:val="0"/>
          <w:lang w:val="de-DE"/>
        </w:rPr>
        <w:t>bergang auf neue, virtuelle Server</w:t>
      </w:r>
    </w:p>
    <w:p>
      <w:pPr>
        <w:pStyle w:val="Body"/>
      </w:pPr>
      <w:r>
        <w:rPr>
          <w:rtl w:val="0"/>
          <w:lang w:val="de-DE"/>
        </w:rPr>
        <w:t>Unsere Server ch-s-pthx001 und ch-s-pthx002 sind nun fast zehn Jahre alt und einige Ersatzteile wurden vom Lieferanten schon aufgek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ndigt, bzw. kann man erwarten, dass sie bald nicht mehr erh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ltlich sein werden. Die Versuche virtuelle Server zu verwenden, die durch Wipro gewartet werden, sind bei der Inbetriebnahme gescheitert und wir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nun eine neue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sung finden. </w:t>
      </w:r>
    </w:p>
    <w:p>
      <w:pPr>
        <w:pStyle w:val="Body"/>
      </w:pPr>
      <w:r>
        <w:rPr>
          <w:rtl w:val="0"/>
          <w:lang w:val="de-DE"/>
        </w:rPr>
        <w:t>Die neue Server-Infrastruktur muss sp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testens dann vorhanden sein, wenn die Datenstruktur bereinigt und die Product Groups eliminiert und die Report Files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berarbeitet worden sind. </w:t>
      </w:r>
    </w:p>
    <w:p>
      <w:pPr>
        <w:pStyle w:val="Body"/>
      </w:pPr>
      <w:r>
        <w:rPr>
          <w:rtl w:val="0"/>
          <w:lang w:val="de-DE"/>
        </w:rPr>
        <w:t>Alle anderen virtuellen Maschinen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dann ebenfalls auf die neuen Server verlegt oder dort neu aufgebaut werden. Statt W7 sollten wir die Verwendung von W10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z.B. TNS-, Matlab- oder andere Server in Betracht ziehen.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de-D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