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B161E" w14:textId="77777777" w:rsidR="00384B8F" w:rsidRPr="00623A31" w:rsidRDefault="00384B8F" w:rsidP="00384B8F">
      <w:pPr>
        <w:jc w:val="center"/>
      </w:pPr>
      <w:r w:rsidRPr="00623A31">
        <w:rPr>
          <w:rFonts w:eastAsiaTheme="minorHAnsi"/>
          <w:noProof/>
          <w:lang w:eastAsia="en-US"/>
        </w:rPr>
        <w:drawing>
          <wp:inline distT="0" distB="0" distL="0" distR="0" wp14:anchorId="66B0B711" wp14:editId="246C0100">
            <wp:extent cx="5029200" cy="1066800"/>
            <wp:effectExtent l="0" t="0" r="0" b="0"/>
            <wp:docPr id="553919467" name="Imagen 553919467" descr="Escuela de Negocios | Tec de Monterr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Escuela de Negocios | Tec de Monterre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29200" cy="1066800"/>
                    </a:xfrm>
                    <a:prstGeom prst="rect">
                      <a:avLst/>
                    </a:prstGeom>
                    <a:noFill/>
                    <a:ln>
                      <a:noFill/>
                    </a:ln>
                  </pic:spPr>
                </pic:pic>
              </a:graphicData>
            </a:graphic>
          </wp:inline>
        </w:drawing>
      </w:r>
    </w:p>
    <w:p w14:paraId="779C4E44" w14:textId="77777777" w:rsidR="00384B8F" w:rsidRPr="00384B8F" w:rsidRDefault="00384B8F" w:rsidP="00384B8F">
      <w:pPr>
        <w:rPr>
          <w:sz w:val="24"/>
          <w:szCs w:val="24"/>
        </w:rPr>
      </w:pPr>
      <w:r w:rsidRPr="00623A31">
        <w:rPr>
          <w:color w:val="000000"/>
        </w:rPr>
        <w:t>      </w:t>
      </w:r>
      <w:r w:rsidRPr="00623A31">
        <w:br/>
      </w:r>
      <w:r w:rsidRPr="00623A31">
        <w:br/>
      </w:r>
    </w:p>
    <w:p w14:paraId="427390F2" w14:textId="77777777" w:rsidR="00384B8F" w:rsidRPr="00384B8F" w:rsidRDefault="00384B8F" w:rsidP="00384B8F">
      <w:pPr>
        <w:jc w:val="center"/>
        <w:rPr>
          <w:sz w:val="24"/>
          <w:szCs w:val="24"/>
        </w:rPr>
      </w:pPr>
      <w:r w:rsidRPr="00384B8F">
        <w:rPr>
          <w:color w:val="000000"/>
          <w:sz w:val="24"/>
          <w:szCs w:val="24"/>
        </w:rPr>
        <w:t>Instituto Tecnológico y de Estudios Superiores de Monterrey</w:t>
      </w:r>
    </w:p>
    <w:p w14:paraId="668C72B2" w14:textId="77777777" w:rsidR="00384B8F" w:rsidRPr="00384B8F" w:rsidRDefault="00384B8F" w:rsidP="00384B8F">
      <w:pPr>
        <w:rPr>
          <w:sz w:val="24"/>
          <w:szCs w:val="24"/>
        </w:rPr>
      </w:pPr>
    </w:p>
    <w:p w14:paraId="35190E40" w14:textId="77777777" w:rsidR="00384B8F" w:rsidRPr="00384B8F" w:rsidRDefault="00384B8F" w:rsidP="00384B8F">
      <w:pPr>
        <w:jc w:val="center"/>
        <w:rPr>
          <w:sz w:val="24"/>
          <w:szCs w:val="24"/>
        </w:rPr>
      </w:pPr>
      <w:r w:rsidRPr="00384B8F">
        <w:rPr>
          <w:color w:val="000000"/>
          <w:sz w:val="24"/>
          <w:szCs w:val="24"/>
        </w:rPr>
        <w:t>Escuela de Negocios</w:t>
      </w:r>
    </w:p>
    <w:p w14:paraId="1D448332" w14:textId="77777777" w:rsidR="00384B8F" w:rsidRPr="00384B8F" w:rsidRDefault="00384B8F" w:rsidP="00384B8F">
      <w:pPr>
        <w:rPr>
          <w:sz w:val="24"/>
          <w:szCs w:val="24"/>
        </w:rPr>
      </w:pPr>
    </w:p>
    <w:p w14:paraId="6869D5C0" w14:textId="77777777" w:rsidR="00384B8F" w:rsidRPr="00384B8F" w:rsidRDefault="00384B8F" w:rsidP="00384B8F">
      <w:pPr>
        <w:jc w:val="center"/>
        <w:rPr>
          <w:color w:val="000000"/>
          <w:sz w:val="24"/>
          <w:szCs w:val="24"/>
        </w:rPr>
      </w:pPr>
      <w:r w:rsidRPr="00384B8F">
        <w:rPr>
          <w:color w:val="000000"/>
          <w:sz w:val="24"/>
          <w:szCs w:val="24"/>
        </w:rPr>
        <w:t>Campus Puebla</w:t>
      </w:r>
    </w:p>
    <w:p w14:paraId="3F3A169E" w14:textId="77777777" w:rsidR="00384B8F" w:rsidRPr="00384B8F" w:rsidRDefault="00384B8F" w:rsidP="00384B8F">
      <w:pPr>
        <w:jc w:val="center"/>
        <w:rPr>
          <w:color w:val="000000"/>
          <w:sz w:val="24"/>
          <w:szCs w:val="24"/>
        </w:rPr>
      </w:pPr>
    </w:p>
    <w:p w14:paraId="4F74E9A8" w14:textId="77777777" w:rsidR="00384B8F" w:rsidRDefault="00384B8F" w:rsidP="00384B8F">
      <w:pPr>
        <w:jc w:val="center"/>
        <w:rPr>
          <w:b/>
          <w:bCs/>
          <w:color w:val="000000"/>
          <w:sz w:val="24"/>
          <w:szCs w:val="24"/>
        </w:rPr>
      </w:pPr>
    </w:p>
    <w:p w14:paraId="29A9398B" w14:textId="77777777" w:rsidR="00384B8F" w:rsidRDefault="00384B8F" w:rsidP="00384B8F">
      <w:pPr>
        <w:jc w:val="center"/>
        <w:rPr>
          <w:b/>
          <w:bCs/>
          <w:color w:val="000000"/>
          <w:sz w:val="24"/>
          <w:szCs w:val="24"/>
        </w:rPr>
      </w:pPr>
    </w:p>
    <w:p w14:paraId="1FFA847D" w14:textId="77777777" w:rsidR="00384B8F" w:rsidRDefault="00384B8F" w:rsidP="00384B8F">
      <w:pPr>
        <w:jc w:val="center"/>
        <w:rPr>
          <w:b/>
          <w:bCs/>
          <w:color w:val="000000"/>
          <w:sz w:val="24"/>
          <w:szCs w:val="24"/>
        </w:rPr>
      </w:pPr>
    </w:p>
    <w:p w14:paraId="32828C82" w14:textId="5C115519" w:rsidR="00384B8F" w:rsidRDefault="00384B8F" w:rsidP="00384B8F">
      <w:pPr>
        <w:jc w:val="center"/>
        <w:rPr>
          <w:b/>
          <w:bCs/>
          <w:color w:val="000000"/>
          <w:sz w:val="24"/>
          <w:szCs w:val="24"/>
          <w:u w:val="single"/>
        </w:rPr>
      </w:pPr>
      <w:r w:rsidRPr="00384B8F">
        <w:rPr>
          <w:b/>
          <w:bCs/>
          <w:color w:val="000000"/>
          <w:sz w:val="24"/>
          <w:szCs w:val="24"/>
        </w:rPr>
        <w:br/>
      </w:r>
      <w:r w:rsidRPr="00384B8F">
        <w:rPr>
          <w:b/>
          <w:bCs/>
          <w:color w:val="000000"/>
          <w:sz w:val="24"/>
          <w:szCs w:val="24"/>
          <w:u w:val="single"/>
        </w:rPr>
        <w:t>Analítica de datos y herramientas de inteligencia artificial (</w:t>
      </w:r>
      <w:proofErr w:type="spellStart"/>
      <w:r w:rsidRPr="00384B8F">
        <w:rPr>
          <w:b/>
          <w:bCs/>
          <w:color w:val="000000"/>
          <w:sz w:val="24"/>
          <w:szCs w:val="24"/>
          <w:u w:val="single"/>
        </w:rPr>
        <w:t>Gpo</w:t>
      </w:r>
      <w:proofErr w:type="spellEnd"/>
      <w:r w:rsidRPr="00384B8F">
        <w:rPr>
          <w:b/>
          <w:bCs/>
          <w:color w:val="000000"/>
          <w:sz w:val="24"/>
          <w:szCs w:val="24"/>
          <w:u w:val="single"/>
        </w:rPr>
        <w:t xml:space="preserve"> 601)</w:t>
      </w:r>
    </w:p>
    <w:p w14:paraId="2E314784" w14:textId="77777777" w:rsidR="00384B8F" w:rsidRDefault="00384B8F" w:rsidP="00384B8F">
      <w:pPr>
        <w:jc w:val="center"/>
        <w:rPr>
          <w:b/>
          <w:bCs/>
          <w:color w:val="000000"/>
          <w:sz w:val="24"/>
          <w:szCs w:val="24"/>
          <w:u w:val="single"/>
        </w:rPr>
      </w:pPr>
    </w:p>
    <w:p w14:paraId="69642351" w14:textId="77777777" w:rsidR="00384B8F" w:rsidRDefault="00384B8F" w:rsidP="00384B8F">
      <w:pPr>
        <w:jc w:val="center"/>
        <w:rPr>
          <w:b/>
          <w:bCs/>
          <w:color w:val="000000"/>
          <w:sz w:val="24"/>
          <w:szCs w:val="24"/>
          <w:u w:val="single"/>
        </w:rPr>
      </w:pPr>
    </w:p>
    <w:p w14:paraId="2D5DD5C1" w14:textId="77777777" w:rsidR="00384B8F" w:rsidRPr="00384B8F" w:rsidRDefault="00384B8F" w:rsidP="00384B8F">
      <w:pPr>
        <w:jc w:val="center"/>
        <w:rPr>
          <w:b/>
          <w:bCs/>
          <w:color w:val="000000"/>
          <w:sz w:val="24"/>
          <w:szCs w:val="24"/>
          <w:u w:val="single"/>
        </w:rPr>
      </w:pPr>
    </w:p>
    <w:p w14:paraId="55551A49" w14:textId="77777777" w:rsidR="00384B8F" w:rsidRPr="00384B8F" w:rsidRDefault="00384B8F" w:rsidP="00384B8F">
      <w:pPr>
        <w:jc w:val="center"/>
        <w:rPr>
          <w:sz w:val="24"/>
          <w:szCs w:val="24"/>
        </w:rPr>
      </w:pPr>
    </w:p>
    <w:p w14:paraId="3CDE522A" w14:textId="77777777" w:rsidR="00384B8F" w:rsidRPr="00384B8F" w:rsidRDefault="00384B8F" w:rsidP="00384B8F">
      <w:pPr>
        <w:jc w:val="center"/>
        <w:rPr>
          <w:b/>
          <w:bCs/>
          <w:color w:val="000000"/>
          <w:sz w:val="24"/>
          <w:szCs w:val="24"/>
        </w:rPr>
      </w:pPr>
      <w:r w:rsidRPr="00384B8F">
        <w:rPr>
          <w:b/>
          <w:bCs/>
          <w:color w:val="000000"/>
          <w:sz w:val="24"/>
          <w:szCs w:val="24"/>
        </w:rPr>
        <w:t>Actividad 5 (Evaluación)</w:t>
      </w:r>
    </w:p>
    <w:p w14:paraId="3802E176" w14:textId="77777777" w:rsidR="00384B8F" w:rsidRDefault="00384B8F" w:rsidP="00384B8F">
      <w:pPr>
        <w:jc w:val="center"/>
        <w:rPr>
          <w:sz w:val="24"/>
          <w:szCs w:val="24"/>
        </w:rPr>
      </w:pPr>
    </w:p>
    <w:p w14:paraId="77BE71DE" w14:textId="77777777" w:rsidR="00384B8F" w:rsidRDefault="00384B8F" w:rsidP="00384B8F">
      <w:pPr>
        <w:jc w:val="center"/>
        <w:rPr>
          <w:sz w:val="24"/>
          <w:szCs w:val="24"/>
        </w:rPr>
      </w:pPr>
    </w:p>
    <w:p w14:paraId="42701354" w14:textId="77777777" w:rsidR="00384B8F" w:rsidRPr="00384B8F" w:rsidRDefault="00384B8F" w:rsidP="00384B8F">
      <w:pPr>
        <w:jc w:val="center"/>
        <w:rPr>
          <w:sz w:val="24"/>
          <w:szCs w:val="24"/>
        </w:rPr>
      </w:pPr>
    </w:p>
    <w:p w14:paraId="61903B4A" w14:textId="77777777" w:rsidR="00384B8F" w:rsidRPr="00384B8F" w:rsidRDefault="00384B8F" w:rsidP="00384B8F">
      <w:pPr>
        <w:jc w:val="center"/>
        <w:rPr>
          <w:color w:val="000000"/>
          <w:sz w:val="24"/>
          <w:szCs w:val="24"/>
        </w:rPr>
      </w:pPr>
      <w:r w:rsidRPr="00384B8F">
        <w:rPr>
          <w:color w:val="000000"/>
          <w:sz w:val="24"/>
          <w:szCs w:val="24"/>
        </w:rPr>
        <w:t xml:space="preserve">Isaac Miguel Barrón Portillo </w:t>
      </w:r>
    </w:p>
    <w:p w14:paraId="753F7466" w14:textId="77777777" w:rsidR="00384B8F" w:rsidRPr="00384B8F" w:rsidRDefault="00384B8F" w:rsidP="00384B8F">
      <w:pPr>
        <w:jc w:val="center"/>
        <w:rPr>
          <w:color w:val="000000"/>
          <w:sz w:val="24"/>
          <w:szCs w:val="24"/>
        </w:rPr>
      </w:pPr>
    </w:p>
    <w:p w14:paraId="1E616A30" w14:textId="77777777" w:rsidR="00384B8F" w:rsidRPr="00384B8F" w:rsidRDefault="00384B8F" w:rsidP="00384B8F">
      <w:pPr>
        <w:jc w:val="center"/>
        <w:rPr>
          <w:color w:val="000000"/>
          <w:sz w:val="24"/>
          <w:szCs w:val="24"/>
        </w:rPr>
      </w:pPr>
      <w:r w:rsidRPr="00384B8F">
        <w:rPr>
          <w:color w:val="000000"/>
          <w:sz w:val="24"/>
          <w:szCs w:val="24"/>
        </w:rPr>
        <w:t>A01737199</w:t>
      </w:r>
    </w:p>
    <w:p w14:paraId="1A33741A" w14:textId="77777777" w:rsidR="00384B8F" w:rsidRDefault="00384B8F" w:rsidP="00384B8F">
      <w:pPr>
        <w:jc w:val="center"/>
        <w:rPr>
          <w:color w:val="000000"/>
          <w:sz w:val="24"/>
          <w:szCs w:val="24"/>
        </w:rPr>
      </w:pPr>
    </w:p>
    <w:p w14:paraId="4C604DDD" w14:textId="77777777" w:rsidR="00384B8F" w:rsidRDefault="00384B8F" w:rsidP="00384B8F">
      <w:pPr>
        <w:jc w:val="center"/>
        <w:rPr>
          <w:color w:val="000000"/>
          <w:sz w:val="24"/>
          <w:szCs w:val="24"/>
        </w:rPr>
      </w:pPr>
    </w:p>
    <w:p w14:paraId="51240922" w14:textId="77777777" w:rsidR="00384B8F" w:rsidRDefault="00384B8F" w:rsidP="00384B8F">
      <w:pPr>
        <w:jc w:val="center"/>
        <w:rPr>
          <w:color w:val="000000"/>
          <w:sz w:val="24"/>
          <w:szCs w:val="24"/>
        </w:rPr>
      </w:pPr>
    </w:p>
    <w:p w14:paraId="2194C30D" w14:textId="77777777" w:rsidR="00384B8F" w:rsidRPr="00384B8F" w:rsidRDefault="00384B8F" w:rsidP="00384B8F">
      <w:pPr>
        <w:jc w:val="center"/>
        <w:rPr>
          <w:color w:val="000000"/>
          <w:sz w:val="24"/>
          <w:szCs w:val="24"/>
        </w:rPr>
      </w:pPr>
    </w:p>
    <w:p w14:paraId="42F9D9EB" w14:textId="77777777" w:rsidR="00384B8F" w:rsidRPr="00384B8F" w:rsidRDefault="00384B8F" w:rsidP="00384B8F">
      <w:pPr>
        <w:jc w:val="center"/>
        <w:rPr>
          <w:color w:val="000000"/>
          <w:sz w:val="24"/>
          <w:szCs w:val="24"/>
        </w:rPr>
      </w:pPr>
      <w:r w:rsidRPr="00384B8F">
        <w:rPr>
          <w:color w:val="000000"/>
          <w:sz w:val="24"/>
          <w:szCs w:val="24"/>
        </w:rPr>
        <w:t xml:space="preserve">Docente: PhD Alfredo García Súarez </w:t>
      </w:r>
    </w:p>
    <w:p w14:paraId="0629E95C" w14:textId="77777777" w:rsidR="00384B8F" w:rsidRPr="00384B8F" w:rsidRDefault="00384B8F" w:rsidP="00384B8F">
      <w:pPr>
        <w:jc w:val="center"/>
        <w:rPr>
          <w:sz w:val="24"/>
          <w:szCs w:val="24"/>
        </w:rPr>
      </w:pPr>
    </w:p>
    <w:p w14:paraId="10EA31DC" w14:textId="77777777" w:rsidR="00384B8F" w:rsidRPr="00384B8F" w:rsidRDefault="00384B8F" w:rsidP="00384B8F">
      <w:pPr>
        <w:spacing w:line="256" w:lineRule="auto"/>
        <w:jc w:val="center"/>
        <w:rPr>
          <w:color w:val="000000"/>
          <w:sz w:val="24"/>
          <w:szCs w:val="24"/>
        </w:rPr>
      </w:pPr>
      <w:r w:rsidRPr="00384B8F">
        <w:rPr>
          <w:color w:val="000000"/>
          <w:sz w:val="24"/>
          <w:szCs w:val="24"/>
        </w:rPr>
        <w:t>Fecha: 19 de octubre de 2026</w:t>
      </w:r>
    </w:p>
    <w:p w14:paraId="03878AAF" w14:textId="77777777" w:rsidR="00384B8F" w:rsidRPr="00384B8F" w:rsidRDefault="00384B8F" w:rsidP="00384B8F">
      <w:pPr>
        <w:rPr>
          <w:color w:val="000000"/>
          <w:sz w:val="24"/>
          <w:szCs w:val="24"/>
        </w:rPr>
      </w:pPr>
      <w:r w:rsidRPr="00384B8F">
        <w:rPr>
          <w:color w:val="000000"/>
          <w:sz w:val="24"/>
          <w:szCs w:val="24"/>
        </w:rPr>
        <w:br w:type="page"/>
      </w:r>
    </w:p>
    <w:p w14:paraId="01E0132D" w14:textId="77777777" w:rsidR="00384B8F" w:rsidRPr="00384B8F" w:rsidRDefault="00384B8F" w:rsidP="00384B8F">
      <w:pPr>
        <w:rPr>
          <w:color w:val="000000"/>
          <w:sz w:val="24"/>
          <w:szCs w:val="24"/>
        </w:rPr>
      </w:pPr>
    </w:p>
    <w:p w14:paraId="0C4C5049" w14:textId="77777777" w:rsidR="00384B8F" w:rsidRPr="00384B8F" w:rsidRDefault="00384B8F" w:rsidP="00384B8F">
      <w:pPr>
        <w:jc w:val="center"/>
        <w:rPr>
          <w:b/>
          <w:bCs/>
          <w:color w:val="000000"/>
          <w:sz w:val="24"/>
          <w:szCs w:val="24"/>
        </w:rPr>
      </w:pPr>
      <w:r w:rsidRPr="00384B8F">
        <w:rPr>
          <w:b/>
          <w:bCs/>
          <w:color w:val="000000"/>
          <w:sz w:val="24"/>
          <w:szCs w:val="24"/>
        </w:rPr>
        <w:t>Actividad 5 (Evaluación) | Datos CLV</w:t>
      </w:r>
    </w:p>
    <w:p w14:paraId="7C18DB6C" w14:textId="77777777" w:rsidR="00042537" w:rsidRPr="00384B8F" w:rsidRDefault="00000000">
      <w:pPr>
        <w:pStyle w:val="Ttulo1"/>
        <w:spacing w:before="220" w:after="120"/>
        <w:rPr>
          <w:color w:val="auto"/>
          <w:sz w:val="24"/>
          <w:szCs w:val="24"/>
        </w:rPr>
      </w:pPr>
      <w:r w:rsidRPr="00384B8F">
        <w:rPr>
          <w:rFonts w:eastAsia="Calibri"/>
          <w:b/>
          <w:bCs/>
          <w:color w:val="auto"/>
          <w:sz w:val="24"/>
          <w:szCs w:val="24"/>
        </w:rPr>
        <w:t>Resumen ejecutivo</w:t>
      </w:r>
    </w:p>
    <w:p w14:paraId="60A6B7D7" w14:textId="77777777" w:rsidR="00042537" w:rsidRPr="00384B8F" w:rsidRDefault="00000000">
      <w:pPr>
        <w:pStyle w:val="Prrafodelista"/>
        <w:numPr>
          <w:ilvl w:val="0"/>
          <w:numId w:val="2"/>
        </w:numPr>
        <w:spacing w:after="80" w:line="250" w:lineRule="auto"/>
        <w:rPr>
          <w:sz w:val="24"/>
          <w:szCs w:val="24"/>
        </w:rPr>
      </w:pPr>
      <w:r w:rsidRPr="00384B8F">
        <w:rPr>
          <w:rFonts w:eastAsia="Calibri"/>
          <w:b/>
          <w:bCs/>
          <w:sz w:val="24"/>
          <w:szCs w:val="24"/>
        </w:rPr>
        <w:t xml:space="preserve">El precio del producto, no el volumen, manda sobre el monto facturado. </w:t>
      </w:r>
      <w:r w:rsidRPr="00384B8F">
        <w:rPr>
          <w:rFonts w:eastAsia="Calibri"/>
          <w:sz w:val="24"/>
          <w:szCs w:val="24"/>
        </w:rPr>
        <w:t>Es la variable con mayor correlación de toda la base (0.597) y por sí sola explica el 35.6% de la variación del total neto por línea.</w:t>
      </w:r>
    </w:p>
    <w:p w14:paraId="76E7ABD0" w14:textId="77777777" w:rsidR="00042537" w:rsidRPr="00384B8F" w:rsidRDefault="00000000">
      <w:pPr>
        <w:pStyle w:val="Prrafodelista"/>
        <w:numPr>
          <w:ilvl w:val="0"/>
          <w:numId w:val="2"/>
        </w:numPr>
        <w:spacing w:after="80" w:line="250" w:lineRule="auto"/>
        <w:rPr>
          <w:sz w:val="24"/>
          <w:szCs w:val="24"/>
        </w:rPr>
      </w:pPr>
      <w:r w:rsidRPr="00384B8F">
        <w:rPr>
          <w:rFonts w:eastAsia="Calibri"/>
          <w:b/>
          <w:bCs/>
          <w:sz w:val="24"/>
          <w:szCs w:val="24"/>
        </w:rPr>
        <w:t xml:space="preserve">Sumar contexto comercial mejora la explicación a 45.4%. </w:t>
      </w:r>
      <w:r w:rsidRPr="00384B8F">
        <w:rPr>
          <w:rFonts w:eastAsia="Calibri"/>
          <w:sz w:val="24"/>
          <w:szCs w:val="24"/>
        </w:rPr>
        <w:t>Marca, canal y plaza aportan 10 puntos porcentuales sobre el modelo de una sola variable.</w:t>
      </w:r>
    </w:p>
    <w:p w14:paraId="30B73C4E" w14:textId="77777777" w:rsidR="00042537" w:rsidRPr="00384B8F" w:rsidRDefault="00000000">
      <w:pPr>
        <w:pStyle w:val="Prrafodelista"/>
        <w:numPr>
          <w:ilvl w:val="0"/>
          <w:numId w:val="2"/>
        </w:numPr>
        <w:spacing w:after="80" w:line="250" w:lineRule="auto"/>
        <w:rPr>
          <w:sz w:val="24"/>
          <w:szCs w:val="24"/>
        </w:rPr>
      </w:pPr>
      <w:r w:rsidRPr="00384B8F">
        <w:rPr>
          <w:rFonts w:eastAsia="Calibri"/>
          <w:b/>
          <w:bCs/>
          <w:sz w:val="24"/>
          <w:szCs w:val="24"/>
        </w:rPr>
        <w:t xml:space="preserve">El modelo que clasifica ventas de </w:t>
      </w:r>
      <w:proofErr w:type="gramStart"/>
      <w:r w:rsidRPr="00384B8F">
        <w:rPr>
          <w:rFonts w:eastAsia="Calibri"/>
          <w:b/>
          <w:bCs/>
          <w:sz w:val="24"/>
          <w:szCs w:val="24"/>
        </w:rPr>
        <w:t>ticket</w:t>
      </w:r>
      <w:proofErr w:type="gramEnd"/>
      <w:r w:rsidRPr="00384B8F">
        <w:rPr>
          <w:rFonts w:eastAsia="Calibri"/>
          <w:b/>
          <w:bCs/>
          <w:sz w:val="24"/>
          <w:szCs w:val="24"/>
        </w:rPr>
        <w:t xml:space="preserve"> alto es usable solo si se corrige el desbalance. </w:t>
      </w:r>
      <w:r w:rsidRPr="00384B8F">
        <w:rPr>
          <w:rFonts w:eastAsia="Calibri"/>
          <w:sz w:val="24"/>
          <w:szCs w:val="24"/>
        </w:rPr>
        <w:t>Sin corrección detecta apenas 30% de las ventas premium; con reponderación de clases llega a 78%.</w:t>
      </w:r>
    </w:p>
    <w:p w14:paraId="00914BFD" w14:textId="77777777" w:rsidR="00042537" w:rsidRPr="00384B8F" w:rsidRDefault="00000000">
      <w:pPr>
        <w:pStyle w:val="Prrafodelista"/>
        <w:numPr>
          <w:ilvl w:val="0"/>
          <w:numId w:val="2"/>
        </w:numPr>
        <w:spacing w:after="80" w:line="250" w:lineRule="auto"/>
        <w:rPr>
          <w:sz w:val="24"/>
          <w:szCs w:val="24"/>
        </w:rPr>
      </w:pPr>
      <w:r w:rsidRPr="00384B8F">
        <w:rPr>
          <w:rFonts w:eastAsia="Calibri"/>
          <w:b/>
          <w:bCs/>
          <w:sz w:val="24"/>
          <w:szCs w:val="24"/>
        </w:rPr>
        <w:t xml:space="preserve">La palanca del </w:t>
      </w:r>
      <w:proofErr w:type="gramStart"/>
      <w:r w:rsidRPr="00384B8F">
        <w:rPr>
          <w:rFonts w:eastAsia="Calibri"/>
          <w:b/>
          <w:bCs/>
          <w:sz w:val="24"/>
          <w:szCs w:val="24"/>
        </w:rPr>
        <w:t>ticket</w:t>
      </w:r>
      <w:proofErr w:type="gramEnd"/>
      <w:r w:rsidRPr="00384B8F">
        <w:rPr>
          <w:rFonts w:eastAsia="Calibri"/>
          <w:b/>
          <w:bCs/>
          <w:sz w:val="24"/>
          <w:szCs w:val="24"/>
        </w:rPr>
        <w:t xml:space="preserve"> alto es la marca y el canal, no el vendedor ni la plaza. </w:t>
      </w:r>
      <w:r w:rsidRPr="00384B8F">
        <w:rPr>
          <w:rFonts w:eastAsia="Calibri"/>
          <w:sz w:val="24"/>
          <w:szCs w:val="24"/>
        </w:rPr>
        <w:t>AIDITE convierte 47.1% de sus líneas en venta premium contra 7.5% de VITA.</w:t>
      </w:r>
    </w:p>
    <w:p w14:paraId="611CDF9B" w14:textId="77777777" w:rsidR="00042537" w:rsidRPr="00384B8F" w:rsidRDefault="00000000">
      <w:pPr>
        <w:pStyle w:val="Ttulo1"/>
        <w:spacing w:before="220" w:after="120"/>
        <w:rPr>
          <w:color w:val="auto"/>
          <w:sz w:val="24"/>
          <w:szCs w:val="24"/>
        </w:rPr>
      </w:pPr>
      <w:r w:rsidRPr="00384B8F">
        <w:rPr>
          <w:rFonts w:eastAsia="Calibri"/>
          <w:b/>
          <w:bCs/>
          <w:color w:val="auto"/>
          <w:sz w:val="24"/>
          <w:szCs w:val="24"/>
        </w:rPr>
        <w:t>1. Base de análisis</w:t>
      </w:r>
    </w:p>
    <w:p w14:paraId="2BBB2E14" w14:textId="77777777" w:rsidR="00042537" w:rsidRPr="00384B8F" w:rsidRDefault="00000000">
      <w:pPr>
        <w:spacing w:after="110" w:line="250" w:lineRule="auto"/>
        <w:rPr>
          <w:sz w:val="24"/>
          <w:szCs w:val="24"/>
        </w:rPr>
      </w:pPr>
      <w:r w:rsidRPr="00384B8F">
        <w:rPr>
          <w:rFonts w:eastAsia="Calibri"/>
          <w:sz w:val="24"/>
          <w:szCs w:val="24"/>
        </w:rPr>
        <w:t xml:space="preserve">El trabajo parte del histórico de ventas de CLV: 21,632 líneas facturadas entre enero y octubre de 2026 a doctores y consultorios. El </w:t>
      </w:r>
      <w:proofErr w:type="spellStart"/>
      <w:r w:rsidRPr="00384B8F">
        <w:rPr>
          <w:rFonts w:eastAsia="Calibri"/>
          <w:sz w:val="24"/>
          <w:szCs w:val="24"/>
        </w:rPr>
        <w:t>pre-procesamiento</w:t>
      </w:r>
      <w:proofErr w:type="spellEnd"/>
      <w:r w:rsidRPr="00384B8F">
        <w:rPr>
          <w:rFonts w:eastAsia="Calibri"/>
          <w:sz w:val="24"/>
          <w:szCs w:val="24"/>
        </w:rPr>
        <w:t xml:space="preserve"> unificó las variantes de texto en estado, ciudad y marca, imputó los faltantes de ubicación con la moda del grupo geográfico, trató los valores extremos con el método de rango intercuartílico y estandarizó las variables numéricas, dejando una base de 67 columnas sin nulos ni </w:t>
      </w:r>
      <w:proofErr w:type="spellStart"/>
      <w:r w:rsidRPr="00384B8F">
        <w:rPr>
          <w:rFonts w:eastAsia="Calibri"/>
          <w:sz w:val="24"/>
          <w:szCs w:val="24"/>
        </w:rPr>
        <w:t>outliers</w:t>
      </w:r>
      <w:proofErr w:type="spellEnd"/>
      <w:r w:rsidRPr="00384B8F">
        <w:rPr>
          <w:rFonts w:eastAsia="Calibri"/>
          <w:sz w:val="24"/>
          <w:szCs w:val="24"/>
        </w:rPr>
        <w:t xml:space="preserve">. Sobre ella se construyeron tres modelos: regresión lineal simple y múltiple para explicar el monto facturado por línea, y regresión logística para clasificar las ventas de </w:t>
      </w:r>
      <w:proofErr w:type="gramStart"/>
      <w:r w:rsidRPr="00384B8F">
        <w:rPr>
          <w:rFonts w:eastAsia="Calibri"/>
          <w:sz w:val="24"/>
          <w:szCs w:val="24"/>
        </w:rPr>
        <w:t>ticket</w:t>
      </w:r>
      <w:proofErr w:type="gramEnd"/>
      <w:r w:rsidRPr="00384B8F">
        <w:rPr>
          <w:rFonts w:eastAsia="Calibri"/>
          <w:sz w:val="24"/>
          <w:szCs w:val="24"/>
        </w:rPr>
        <w:t xml:space="preserve"> alto.</w:t>
      </w:r>
    </w:p>
    <w:p w14:paraId="46E3825E" w14:textId="77777777" w:rsidR="00042537" w:rsidRPr="00384B8F" w:rsidRDefault="00000000">
      <w:pPr>
        <w:pStyle w:val="Ttulo1"/>
        <w:spacing w:before="220" w:after="120"/>
        <w:rPr>
          <w:color w:val="auto"/>
          <w:sz w:val="24"/>
          <w:szCs w:val="24"/>
        </w:rPr>
      </w:pPr>
      <w:r w:rsidRPr="00384B8F">
        <w:rPr>
          <w:rFonts w:eastAsia="Calibri"/>
          <w:b/>
          <w:bCs/>
          <w:color w:val="auto"/>
          <w:sz w:val="24"/>
          <w:szCs w:val="24"/>
        </w:rPr>
        <w:t>2. Qué explica el monto de una venta</w:t>
      </w:r>
    </w:p>
    <w:p w14:paraId="210D2678" w14:textId="77777777" w:rsidR="00042537" w:rsidRPr="00384B8F" w:rsidRDefault="00000000">
      <w:pPr>
        <w:spacing w:after="110" w:line="250" w:lineRule="auto"/>
        <w:rPr>
          <w:sz w:val="24"/>
          <w:szCs w:val="24"/>
        </w:rPr>
      </w:pPr>
      <w:r w:rsidRPr="00384B8F">
        <w:rPr>
          <w:rFonts w:eastAsia="Calibri"/>
          <w:sz w:val="24"/>
          <w:szCs w:val="24"/>
        </w:rPr>
        <w:t>La correlación más alta entre variables de negocio de toda la base es la del precio unitario con el total neto de la línea. Las correlaciones mayores que aparecen entre columnas de vendedor y estado son estructurales, ya que cada vendedor atiende siempre la misma zona, y no explican ninguna cantidad.</w:t>
      </w:r>
    </w:p>
    <w:p w14:paraId="108986AA" w14:textId="77777777" w:rsidR="00042537" w:rsidRPr="00384B8F" w:rsidRDefault="00000000">
      <w:pPr>
        <w:spacing w:before="100" w:after="40"/>
        <w:jc w:val="center"/>
        <w:rPr>
          <w:sz w:val="24"/>
          <w:szCs w:val="24"/>
        </w:rPr>
      </w:pPr>
      <w:r w:rsidRPr="00384B8F">
        <w:rPr>
          <w:noProof/>
          <w:sz w:val="24"/>
          <w:szCs w:val="24"/>
        </w:rPr>
        <w:drawing>
          <wp:inline distT="0" distB="0" distL="0" distR="0" wp14:anchorId="3904CD53" wp14:editId="0845CC70">
            <wp:extent cx="5943600" cy="18669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1866900"/>
                    </a:xfrm>
                    <a:prstGeom prst="rect">
                      <a:avLst/>
                    </a:prstGeom>
                  </pic:spPr>
                </pic:pic>
              </a:graphicData>
            </a:graphic>
          </wp:inline>
        </w:drawing>
      </w:r>
    </w:p>
    <w:p w14:paraId="06FFDCA9" w14:textId="77777777" w:rsidR="00042537" w:rsidRPr="00384B8F" w:rsidRDefault="00000000">
      <w:pPr>
        <w:spacing w:after="140"/>
        <w:jc w:val="center"/>
        <w:rPr>
          <w:sz w:val="24"/>
          <w:szCs w:val="24"/>
        </w:rPr>
      </w:pPr>
      <w:r w:rsidRPr="00384B8F">
        <w:rPr>
          <w:rFonts w:eastAsia="Calibri"/>
          <w:i/>
          <w:iCs/>
          <w:sz w:val="24"/>
          <w:szCs w:val="24"/>
        </w:rPr>
        <w:t>Figura 1. Variables con mayor correlación absoluta contra el total neto de la línea.</w:t>
      </w:r>
    </w:p>
    <w:p w14:paraId="20C0FC04" w14:textId="77777777" w:rsidR="00042537" w:rsidRPr="00384B8F" w:rsidRDefault="00000000">
      <w:pPr>
        <w:spacing w:after="110" w:line="250" w:lineRule="auto"/>
        <w:rPr>
          <w:sz w:val="24"/>
          <w:szCs w:val="24"/>
        </w:rPr>
      </w:pPr>
      <w:r w:rsidRPr="00384B8F">
        <w:rPr>
          <w:rFonts w:eastAsia="Calibri"/>
          <w:sz w:val="24"/>
          <w:szCs w:val="24"/>
        </w:rPr>
        <w:t>El modelo simple sobre el precio unitario arroja la ecuación y = 0.5967x, con coeficiente de determinación de 0.3561. Como las variables están estandarizadas, la pendiente coincide con el coeficiente de correlación y la lectura es directa: por cada desviación estándar que sube el precio, el monto de la línea sube 0.60 desviaciones.</w:t>
      </w:r>
    </w:p>
    <w:p w14:paraId="2690D6E8" w14:textId="77777777" w:rsidR="00042537" w:rsidRPr="00384B8F" w:rsidRDefault="00000000">
      <w:pPr>
        <w:spacing w:after="110" w:line="250" w:lineRule="auto"/>
        <w:rPr>
          <w:sz w:val="24"/>
          <w:szCs w:val="24"/>
        </w:rPr>
      </w:pPr>
      <w:r w:rsidRPr="00384B8F">
        <w:rPr>
          <w:rFonts w:eastAsia="Calibri"/>
          <w:sz w:val="24"/>
          <w:szCs w:val="24"/>
        </w:rPr>
        <w:t>El modelo múltiple se construyó probando conjuntos de 1 a 66 variables. A partir de la sexta la ganancia se vuelve marginal, de modo que el mejor modelo usa seis: precio unitario, unidades, dos marcas, canal y plaza.</w:t>
      </w:r>
    </w:p>
    <w:tbl>
      <w:tblPr>
        <w:tblW w:w="9360" w:type="dxa"/>
        <w:tblBorders>
          <w:top w:val="single" w:sz="4" w:space="0" w:color="D9D9D6"/>
          <w:left w:val="none" w:sz="0" w:space="0" w:color="FFFFFF"/>
          <w:bottom w:val="single" w:sz="4" w:space="0" w:color="D9D9D6"/>
          <w:right w:val="none" w:sz="0" w:space="0" w:color="FFFFFF"/>
          <w:insideH w:val="single" w:sz="2" w:space="0" w:color="D9D9D6"/>
          <w:insideV w:val="none" w:sz="0" w:space="0" w:color="FFFFFF"/>
        </w:tblBorders>
        <w:tblLook w:val="04A0" w:firstRow="1" w:lastRow="0" w:firstColumn="1" w:lastColumn="0" w:noHBand="0" w:noVBand="1"/>
      </w:tblPr>
      <w:tblGrid>
        <w:gridCol w:w="3744"/>
        <w:gridCol w:w="2808"/>
        <w:gridCol w:w="2808"/>
      </w:tblGrid>
      <w:tr w:rsidR="00384B8F" w:rsidRPr="00384B8F" w14:paraId="15A6741E" w14:textId="77777777">
        <w:trPr>
          <w:tblHeader/>
        </w:trPr>
        <w:tc>
          <w:tcPr>
            <w:tcW w:w="3744" w:type="dxa"/>
            <w:shd w:val="clear" w:color="auto" w:fill="EDF2F8"/>
            <w:tcMar>
              <w:top w:w="60" w:type="dxa"/>
              <w:left w:w="100" w:type="dxa"/>
              <w:bottom w:w="60" w:type="dxa"/>
              <w:right w:w="100" w:type="dxa"/>
            </w:tcMar>
          </w:tcPr>
          <w:p w14:paraId="1D9157A1" w14:textId="77777777" w:rsidR="00042537" w:rsidRPr="00384B8F" w:rsidRDefault="00000000">
            <w:pPr>
              <w:keepNext/>
              <w:rPr>
                <w:sz w:val="24"/>
                <w:szCs w:val="24"/>
              </w:rPr>
            </w:pPr>
            <w:r w:rsidRPr="00384B8F">
              <w:rPr>
                <w:rFonts w:eastAsia="Calibri"/>
                <w:b/>
                <w:bCs/>
                <w:sz w:val="24"/>
                <w:szCs w:val="24"/>
              </w:rPr>
              <w:lastRenderedPageBreak/>
              <w:t>Variable</w:t>
            </w:r>
          </w:p>
        </w:tc>
        <w:tc>
          <w:tcPr>
            <w:tcW w:w="2808" w:type="dxa"/>
            <w:shd w:val="clear" w:color="auto" w:fill="EDF2F8"/>
            <w:tcMar>
              <w:top w:w="60" w:type="dxa"/>
              <w:left w:w="100" w:type="dxa"/>
              <w:bottom w:w="60" w:type="dxa"/>
              <w:right w:w="100" w:type="dxa"/>
            </w:tcMar>
          </w:tcPr>
          <w:p w14:paraId="6BDB6AB1" w14:textId="77777777" w:rsidR="00042537" w:rsidRPr="00384B8F" w:rsidRDefault="00000000">
            <w:pPr>
              <w:keepNext/>
              <w:jc w:val="center"/>
              <w:rPr>
                <w:sz w:val="24"/>
                <w:szCs w:val="24"/>
              </w:rPr>
            </w:pPr>
            <w:r w:rsidRPr="00384B8F">
              <w:rPr>
                <w:rFonts w:eastAsia="Calibri"/>
                <w:b/>
                <w:bCs/>
                <w:sz w:val="24"/>
                <w:szCs w:val="24"/>
              </w:rPr>
              <w:t>Modelo simple</w:t>
            </w:r>
          </w:p>
        </w:tc>
        <w:tc>
          <w:tcPr>
            <w:tcW w:w="2808" w:type="dxa"/>
            <w:shd w:val="clear" w:color="auto" w:fill="EDF2F8"/>
            <w:tcMar>
              <w:top w:w="60" w:type="dxa"/>
              <w:left w:w="100" w:type="dxa"/>
              <w:bottom w:w="60" w:type="dxa"/>
              <w:right w:w="100" w:type="dxa"/>
            </w:tcMar>
          </w:tcPr>
          <w:p w14:paraId="5B98F2C6" w14:textId="77777777" w:rsidR="00042537" w:rsidRPr="00384B8F" w:rsidRDefault="00000000">
            <w:pPr>
              <w:keepNext/>
              <w:jc w:val="center"/>
              <w:rPr>
                <w:sz w:val="24"/>
                <w:szCs w:val="24"/>
              </w:rPr>
            </w:pPr>
            <w:r w:rsidRPr="00384B8F">
              <w:rPr>
                <w:rFonts w:eastAsia="Calibri"/>
                <w:b/>
                <w:bCs/>
                <w:sz w:val="24"/>
                <w:szCs w:val="24"/>
              </w:rPr>
              <w:t>Modelo múltiple</w:t>
            </w:r>
          </w:p>
        </w:tc>
      </w:tr>
      <w:tr w:rsidR="00384B8F" w:rsidRPr="00384B8F" w14:paraId="17BE9D16" w14:textId="77777777">
        <w:tc>
          <w:tcPr>
            <w:tcW w:w="3744" w:type="dxa"/>
            <w:tcMar>
              <w:top w:w="60" w:type="dxa"/>
              <w:left w:w="100" w:type="dxa"/>
              <w:bottom w:w="60" w:type="dxa"/>
              <w:right w:w="100" w:type="dxa"/>
            </w:tcMar>
          </w:tcPr>
          <w:p w14:paraId="2DC162BD" w14:textId="77777777" w:rsidR="00042537" w:rsidRPr="00384B8F" w:rsidRDefault="00000000">
            <w:pPr>
              <w:keepNext/>
              <w:rPr>
                <w:sz w:val="24"/>
                <w:szCs w:val="24"/>
              </w:rPr>
            </w:pPr>
            <w:r w:rsidRPr="00384B8F">
              <w:rPr>
                <w:rFonts w:eastAsia="Calibri"/>
                <w:sz w:val="24"/>
                <w:szCs w:val="24"/>
              </w:rPr>
              <w:t>Precio unitario</w:t>
            </w:r>
          </w:p>
        </w:tc>
        <w:tc>
          <w:tcPr>
            <w:tcW w:w="2808" w:type="dxa"/>
            <w:tcMar>
              <w:top w:w="60" w:type="dxa"/>
              <w:left w:w="100" w:type="dxa"/>
              <w:bottom w:w="60" w:type="dxa"/>
              <w:right w:w="100" w:type="dxa"/>
            </w:tcMar>
          </w:tcPr>
          <w:p w14:paraId="6EF5BD35" w14:textId="77777777" w:rsidR="00042537" w:rsidRPr="00384B8F" w:rsidRDefault="00000000">
            <w:pPr>
              <w:keepNext/>
              <w:jc w:val="center"/>
              <w:rPr>
                <w:sz w:val="24"/>
                <w:szCs w:val="24"/>
              </w:rPr>
            </w:pPr>
            <w:r w:rsidRPr="00384B8F">
              <w:rPr>
                <w:rFonts w:eastAsia="Calibri"/>
                <w:sz w:val="24"/>
                <w:szCs w:val="24"/>
              </w:rPr>
              <w:t>0.5967</w:t>
            </w:r>
          </w:p>
        </w:tc>
        <w:tc>
          <w:tcPr>
            <w:tcW w:w="2808" w:type="dxa"/>
            <w:tcMar>
              <w:top w:w="60" w:type="dxa"/>
              <w:left w:w="100" w:type="dxa"/>
              <w:bottom w:w="60" w:type="dxa"/>
              <w:right w:w="100" w:type="dxa"/>
            </w:tcMar>
          </w:tcPr>
          <w:p w14:paraId="64687E35" w14:textId="77777777" w:rsidR="00042537" w:rsidRPr="00384B8F" w:rsidRDefault="00000000">
            <w:pPr>
              <w:keepNext/>
              <w:jc w:val="center"/>
              <w:rPr>
                <w:sz w:val="24"/>
                <w:szCs w:val="24"/>
              </w:rPr>
            </w:pPr>
            <w:r w:rsidRPr="00384B8F">
              <w:rPr>
                <w:rFonts w:eastAsia="Calibri"/>
                <w:sz w:val="24"/>
                <w:szCs w:val="24"/>
              </w:rPr>
              <w:t>0.4956</w:t>
            </w:r>
          </w:p>
        </w:tc>
      </w:tr>
      <w:tr w:rsidR="00384B8F" w:rsidRPr="00384B8F" w14:paraId="42D00655" w14:textId="77777777">
        <w:tc>
          <w:tcPr>
            <w:tcW w:w="3744" w:type="dxa"/>
            <w:tcMar>
              <w:top w:w="60" w:type="dxa"/>
              <w:left w:w="100" w:type="dxa"/>
              <w:bottom w:w="60" w:type="dxa"/>
              <w:right w:w="100" w:type="dxa"/>
            </w:tcMar>
          </w:tcPr>
          <w:p w14:paraId="069D02B4" w14:textId="77777777" w:rsidR="00042537" w:rsidRPr="00384B8F" w:rsidRDefault="00000000">
            <w:pPr>
              <w:keepNext/>
              <w:rPr>
                <w:sz w:val="24"/>
                <w:szCs w:val="24"/>
              </w:rPr>
            </w:pPr>
            <w:proofErr w:type="gramStart"/>
            <w:r w:rsidRPr="00384B8F">
              <w:rPr>
                <w:rFonts w:eastAsia="Calibri"/>
                <w:sz w:val="24"/>
                <w:szCs w:val="24"/>
              </w:rPr>
              <w:t>Total</w:t>
            </w:r>
            <w:proofErr w:type="gramEnd"/>
            <w:r w:rsidRPr="00384B8F">
              <w:rPr>
                <w:rFonts w:eastAsia="Calibri"/>
                <w:sz w:val="24"/>
                <w:szCs w:val="24"/>
              </w:rPr>
              <w:t xml:space="preserve"> de unidades</w:t>
            </w:r>
          </w:p>
        </w:tc>
        <w:tc>
          <w:tcPr>
            <w:tcW w:w="2808" w:type="dxa"/>
            <w:tcMar>
              <w:top w:w="60" w:type="dxa"/>
              <w:left w:w="100" w:type="dxa"/>
              <w:bottom w:w="60" w:type="dxa"/>
              <w:right w:w="100" w:type="dxa"/>
            </w:tcMar>
          </w:tcPr>
          <w:p w14:paraId="507D5F39" w14:textId="77777777" w:rsidR="00042537" w:rsidRPr="00384B8F" w:rsidRDefault="00000000">
            <w:pPr>
              <w:keepNext/>
              <w:jc w:val="center"/>
              <w:rPr>
                <w:sz w:val="24"/>
                <w:szCs w:val="24"/>
              </w:rPr>
            </w:pPr>
            <w:r w:rsidRPr="00384B8F">
              <w:rPr>
                <w:rFonts w:eastAsia="Calibri"/>
                <w:sz w:val="24"/>
                <w:szCs w:val="24"/>
              </w:rPr>
              <w:t>—</w:t>
            </w:r>
          </w:p>
        </w:tc>
        <w:tc>
          <w:tcPr>
            <w:tcW w:w="2808" w:type="dxa"/>
            <w:tcMar>
              <w:top w:w="60" w:type="dxa"/>
              <w:left w:w="100" w:type="dxa"/>
              <w:bottom w:w="60" w:type="dxa"/>
              <w:right w:w="100" w:type="dxa"/>
            </w:tcMar>
          </w:tcPr>
          <w:p w14:paraId="74BAF182" w14:textId="77777777" w:rsidR="00042537" w:rsidRPr="00384B8F" w:rsidRDefault="00000000">
            <w:pPr>
              <w:keepNext/>
              <w:jc w:val="center"/>
              <w:rPr>
                <w:sz w:val="24"/>
                <w:szCs w:val="24"/>
              </w:rPr>
            </w:pPr>
            <w:r w:rsidRPr="00384B8F">
              <w:rPr>
                <w:rFonts w:eastAsia="Calibri"/>
                <w:sz w:val="24"/>
                <w:szCs w:val="24"/>
              </w:rPr>
              <w:t>0.2629</w:t>
            </w:r>
          </w:p>
        </w:tc>
      </w:tr>
      <w:tr w:rsidR="00384B8F" w:rsidRPr="00384B8F" w14:paraId="3E043460" w14:textId="77777777">
        <w:tc>
          <w:tcPr>
            <w:tcW w:w="3744" w:type="dxa"/>
            <w:tcMar>
              <w:top w:w="60" w:type="dxa"/>
              <w:left w:w="100" w:type="dxa"/>
              <w:bottom w:w="60" w:type="dxa"/>
              <w:right w:w="100" w:type="dxa"/>
            </w:tcMar>
          </w:tcPr>
          <w:p w14:paraId="418FB954" w14:textId="77777777" w:rsidR="00042537" w:rsidRPr="00384B8F" w:rsidRDefault="00000000">
            <w:pPr>
              <w:keepNext/>
              <w:rPr>
                <w:sz w:val="24"/>
                <w:szCs w:val="24"/>
              </w:rPr>
            </w:pPr>
            <w:r w:rsidRPr="00384B8F">
              <w:rPr>
                <w:rFonts w:eastAsia="Calibri"/>
                <w:sz w:val="24"/>
                <w:szCs w:val="24"/>
              </w:rPr>
              <w:t>Marca VITA</w:t>
            </w:r>
          </w:p>
        </w:tc>
        <w:tc>
          <w:tcPr>
            <w:tcW w:w="2808" w:type="dxa"/>
            <w:tcMar>
              <w:top w:w="60" w:type="dxa"/>
              <w:left w:w="100" w:type="dxa"/>
              <w:bottom w:w="60" w:type="dxa"/>
              <w:right w:w="100" w:type="dxa"/>
            </w:tcMar>
          </w:tcPr>
          <w:p w14:paraId="41C5AC2C" w14:textId="77777777" w:rsidR="00042537" w:rsidRPr="00384B8F" w:rsidRDefault="00000000">
            <w:pPr>
              <w:keepNext/>
              <w:jc w:val="center"/>
              <w:rPr>
                <w:sz w:val="24"/>
                <w:szCs w:val="24"/>
              </w:rPr>
            </w:pPr>
            <w:r w:rsidRPr="00384B8F">
              <w:rPr>
                <w:rFonts w:eastAsia="Calibri"/>
                <w:sz w:val="24"/>
                <w:szCs w:val="24"/>
              </w:rPr>
              <w:t>—</w:t>
            </w:r>
          </w:p>
        </w:tc>
        <w:tc>
          <w:tcPr>
            <w:tcW w:w="2808" w:type="dxa"/>
            <w:tcMar>
              <w:top w:w="60" w:type="dxa"/>
              <w:left w:w="100" w:type="dxa"/>
              <w:bottom w:w="60" w:type="dxa"/>
              <w:right w:w="100" w:type="dxa"/>
            </w:tcMar>
          </w:tcPr>
          <w:p w14:paraId="576AF9F6" w14:textId="77777777" w:rsidR="00042537" w:rsidRPr="00384B8F" w:rsidRDefault="00000000">
            <w:pPr>
              <w:keepNext/>
              <w:jc w:val="center"/>
              <w:rPr>
                <w:sz w:val="24"/>
                <w:szCs w:val="24"/>
              </w:rPr>
            </w:pPr>
            <w:r w:rsidRPr="00384B8F">
              <w:rPr>
                <w:rFonts w:eastAsia="Calibri"/>
                <w:sz w:val="24"/>
                <w:szCs w:val="24"/>
              </w:rPr>
              <w:t>-0.1602</w:t>
            </w:r>
          </w:p>
        </w:tc>
      </w:tr>
      <w:tr w:rsidR="00384B8F" w:rsidRPr="00384B8F" w14:paraId="5B216C30" w14:textId="77777777">
        <w:tc>
          <w:tcPr>
            <w:tcW w:w="3744" w:type="dxa"/>
            <w:tcMar>
              <w:top w:w="60" w:type="dxa"/>
              <w:left w:w="100" w:type="dxa"/>
              <w:bottom w:w="60" w:type="dxa"/>
              <w:right w:w="100" w:type="dxa"/>
            </w:tcMar>
          </w:tcPr>
          <w:p w14:paraId="425A10D4" w14:textId="77777777" w:rsidR="00042537" w:rsidRPr="00384B8F" w:rsidRDefault="00000000">
            <w:pPr>
              <w:keepNext/>
              <w:rPr>
                <w:sz w:val="24"/>
                <w:szCs w:val="24"/>
              </w:rPr>
            </w:pPr>
            <w:r w:rsidRPr="00384B8F">
              <w:rPr>
                <w:rFonts w:eastAsia="Calibri"/>
                <w:sz w:val="24"/>
                <w:szCs w:val="24"/>
              </w:rPr>
              <w:t>Marca AIDITE</w:t>
            </w:r>
          </w:p>
        </w:tc>
        <w:tc>
          <w:tcPr>
            <w:tcW w:w="2808" w:type="dxa"/>
            <w:tcMar>
              <w:top w:w="60" w:type="dxa"/>
              <w:left w:w="100" w:type="dxa"/>
              <w:bottom w:w="60" w:type="dxa"/>
              <w:right w:w="100" w:type="dxa"/>
            </w:tcMar>
          </w:tcPr>
          <w:p w14:paraId="14447993" w14:textId="77777777" w:rsidR="00042537" w:rsidRPr="00384B8F" w:rsidRDefault="00000000">
            <w:pPr>
              <w:keepNext/>
              <w:jc w:val="center"/>
              <w:rPr>
                <w:sz w:val="24"/>
                <w:szCs w:val="24"/>
              </w:rPr>
            </w:pPr>
            <w:r w:rsidRPr="00384B8F">
              <w:rPr>
                <w:rFonts w:eastAsia="Calibri"/>
                <w:sz w:val="24"/>
                <w:szCs w:val="24"/>
              </w:rPr>
              <w:t>—</w:t>
            </w:r>
          </w:p>
        </w:tc>
        <w:tc>
          <w:tcPr>
            <w:tcW w:w="2808" w:type="dxa"/>
            <w:tcMar>
              <w:top w:w="60" w:type="dxa"/>
              <w:left w:w="100" w:type="dxa"/>
              <w:bottom w:w="60" w:type="dxa"/>
              <w:right w:w="100" w:type="dxa"/>
            </w:tcMar>
          </w:tcPr>
          <w:p w14:paraId="21F8A6BD" w14:textId="77777777" w:rsidR="00042537" w:rsidRPr="00384B8F" w:rsidRDefault="00000000">
            <w:pPr>
              <w:keepNext/>
              <w:jc w:val="center"/>
              <w:rPr>
                <w:sz w:val="24"/>
                <w:szCs w:val="24"/>
              </w:rPr>
            </w:pPr>
            <w:r w:rsidRPr="00384B8F">
              <w:rPr>
                <w:rFonts w:eastAsia="Calibri"/>
                <w:sz w:val="24"/>
                <w:szCs w:val="24"/>
              </w:rPr>
              <w:t>0.1204</w:t>
            </w:r>
          </w:p>
        </w:tc>
      </w:tr>
      <w:tr w:rsidR="00384B8F" w:rsidRPr="00384B8F" w14:paraId="1CF221B9" w14:textId="77777777">
        <w:tc>
          <w:tcPr>
            <w:tcW w:w="3744" w:type="dxa"/>
            <w:tcMar>
              <w:top w:w="60" w:type="dxa"/>
              <w:left w:w="100" w:type="dxa"/>
              <w:bottom w:w="60" w:type="dxa"/>
              <w:right w:w="100" w:type="dxa"/>
            </w:tcMar>
          </w:tcPr>
          <w:p w14:paraId="2C404AE0" w14:textId="77777777" w:rsidR="00042537" w:rsidRPr="00384B8F" w:rsidRDefault="00000000">
            <w:pPr>
              <w:keepNext/>
              <w:rPr>
                <w:sz w:val="24"/>
                <w:szCs w:val="24"/>
              </w:rPr>
            </w:pPr>
            <w:r w:rsidRPr="00384B8F">
              <w:rPr>
                <w:rFonts w:eastAsia="Calibri"/>
                <w:sz w:val="24"/>
                <w:szCs w:val="24"/>
              </w:rPr>
              <w:t>Canal CP0</w:t>
            </w:r>
          </w:p>
        </w:tc>
        <w:tc>
          <w:tcPr>
            <w:tcW w:w="2808" w:type="dxa"/>
            <w:tcMar>
              <w:top w:w="60" w:type="dxa"/>
              <w:left w:w="100" w:type="dxa"/>
              <w:bottom w:w="60" w:type="dxa"/>
              <w:right w:w="100" w:type="dxa"/>
            </w:tcMar>
          </w:tcPr>
          <w:p w14:paraId="39853A42" w14:textId="77777777" w:rsidR="00042537" w:rsidRPr="00384B8F" w:rsidRDefault="00000000">
            <w:pPr>
              <w:keepNext/>
              <w:jc w:val="center"/>
              <w:rPr>
                <w:sz w:val="24"/>
                <w:szCs w:val="24"/>
              </w:rPr>
            </w:pPr>
            <w:r w:rsidRPr="00384B8F">
              <w:rPr>
                <w:rFonts w:eastAsia="Calibri"/>
                <w:sz w:val="24"/>
                <w:szCs w:val="24"/>
              </w:rPr>
              <w:t>—</w:t>
            </w:r>
          </w:p>
        </w:tc>
        <w:tc>
          <w:tcPr>
            <w:tcW w:w="2808" w:type="dxa"/>
            <w:tcMar>
              <w:top w:w="60" w:type="dxa"/>
              <w:left w:w="100" w:type="dxa"/>
              <w:bottom w:w="60" w:type="dxa"/>
              <w:right w:w="100" w:type="dxa"/>
            </w:tcMar>
          </w:tcPr>
          <w:p w14:paraId="4718C95F" w14:textId="77777777" w:rsidR="00042537" w:rsidRPr="00384B8F" w:rsidRDefault="00000000">
            <w:pPr>
              <w:keepNext/>
              <w:jc w:val="center"/>
              <w:rPr>
                <w:sz w:val="24"/>
                <w:szCs w:val="24"/>
              </w:rPr>
            </w:pPr>
            <w:r w:rsidRPr="00384B8F">
              <w:rPr>
                <w:rFonts w:eastAsia="Calibri"/>
                <w:sz w:val="24"/>
                <w:szCs w:val="24"/>
              </w:rPr>
              <w:t>0.2336</w:t>
            </w:r>
          </w:p>
        </w:tc>
      </w:tr>
      <w:tr w:rsidR="00384B8F" w:rsidRPr="00384B8F" w14:paraId="66A55B89" w14:textId="77777777">
        <w:tc>
          <w:tcPr>
            <w:tcW w:w="3744" w:type="dxa"/>
            <w:tcMar>
              <w:top w:w="60" w:type="dxa"/>
              <w:left w:w="100" w:type="dxa"/>
              <w:bottom w:w="60" w:type="dxa"/>
              <w:right w:w="100" w:type="dxa"/>
            </w:tcMar>
          </w:tcPr>
          <w:p w14:paraId="10047261" w14:textId="77777777" w:rsidR="00042537" w:rsidRPr="00384B8F" w:rsidRDefault="00000000">
            <w:pPr>
              <w:keepNext/>
              <w:rPr>
                <w:sz w:val="24"/>
                <w:szCs w:val="24"/>
              </w:rPr>
            </w:pPr>
            <w:r w:rsidRPr="00384B8F">
              <w:rPr>
                <w:rFonts w:eastAsia="Calibri"/>
                <w:sz w:val="24"/>
                <w:szCs w:val="24"/>
              </w:rPr>
              <w:t>Estado CDMX</w:t>
            </w:r>
          </w:p>
        </w:tc>
        <w:tc>
          <w:tcPr>
            <w:tcW w:w="2808" w:type="dxa"/>
            <w:tcMar>
              <w:top w:w="60" w:type="dxa"/>
              <w:left w:w="100" w:type="dxa"/>
              <w:bottom w:w="60" w:type="dxa"/>
              <w:right w:w="100" w:type="dxa"/>
            </w:tcMar>
          </w:tcPr>
          <w:p w14:paraId="15A4A13F" w14:textId="77777777" w:rsidR="00042537" w:rsidRPr="00384B8F" w:rsidRDefault="00000000">
            <w:pPr>
              <w:keepNext/>
              <w:jc w:val="center"/>
              <w:rPr>
                <w:sz w:val="24"/>
                <w:szCs w:val="24"/>
              </w:rPr>
            </w:pPr>
            <w:r w:rsidRPr="00384B8F">
              <w:rPr>
                <w:rFonts w:eastAsia="Calibri"/>
                <w:sz w:val="24"/>
                <w:szCs w:val="24"/>
              </w:rPr>
              <w:t>—</w:t>
            </w:r>
          </w:p>
        </w:tc>
        <w:tc>
          <w:tcPr>
            <w:tcW w:w="2808" w:type="dxa"/>
            <w:tcMar>
              <w:top w:w="60" w:type="dxa"/>
              <w:left w:w="100" w:type="dxa"/>
              <w:bottom w:w="60" w:type="dxa"/>
              <w:right w:w="100" w:type="dxa"/>
            </w:tcMar>
          </w:tcPr>
          <w:p w14:paraId="67CAB597" w14:textId="77777777" w:rsidR="00042537" w:rsidRPr="00384B8F" w:rsidRDefault="00000000">
            <w:pPr>
              <w:keepNext/>
              <w:jc w:val="center"/>
              <w:rPr>
                <w:sz w:val="24"/>
                <w:szCs w:val="24"/>
              </w:rPr>
            </w:pPr>
            <w:r w:rsidRPr="00384B8F">
              <w:rPr>
                <w:rFonts w:eastAsia="Calibri"/>
                <w:sz w:val="24"/>
                <w:szCs w:val="24"/>
              </w:rPr>
              <w:t>-0.0639</w:t>
            </w:r>
          </w:p>
        </w:tc>
      </w:tr>
      <w:tr w:rsidR="00384B8F" w:rsidRPr="00384B8F" w14:paraId="6889F495" w14:textId="77777777">
        <w:tc>
          <w:tcPr>
            <w:tcW w:w="3744" w:type="dxa"/>
            <w:tcMar>
              <w:top w:w="60" w:type="dxa"/>
              <w:left w:w="100" w:type="dxa"/>
              <w:bottom w:w="60" w:type="dxa"/>
              <w:right w:w="100" w:type="dxa"/>
            </w:tcMar>
          </w:tcPr>
          <w:p w14:paraId="70B5965F" w14:textId="77777777" w:rsidR="00042537" w:rsidRPr="00384B8F" w:rsidRDefault="00000000">
            <w:pPr>
              <w:keepNext/>
              <w:rPr>
                <w:sz w:val="24"/>
                <w:szCs w:val="24"/>
              </w:rPr>
            </w:pPr>
            <w:r w:rsidRPr="00384B8F">
              <w:rPr>
                <w:rFonts w:eastAsia="Calibri"/>
                <w:sz w:val="24"/>
                <w:szCs w:val="24"/>
              </w:rPr>
              <w:t>Intercepto</w:t>
            </w:r>
          </w:p>
        </w:tc>
        <w:tc>
          <w:tcPr>
            <w:tcW w:w="2808" w:type="dxa"/>
            <w:tcMar>
              <w:top w:w="60" w:type="dxa"/>
              <w:left w:w="100" w:type="dxa"/>
              <w:bottom w:w="60" w:type="dxa"/>
              <w:right w:w="100" w:type="dxa"/>
            </w:tcMar>
          </w:tcPr>
          <w:p w14:paraId="0156A12B" w14:textId="77777777" w:rsidR="00042537" w:rsidRPr="00384B8F" w:rsidRDefault="00000000">
            <w:pPr>
              <w:keepNext/>
              <w:jc w:val="center"/>
              <w:rPr>
                <w:sz w:val="24"/>
                <w:szCs w:val="24"/>
              </w:rPr>
            </w:pPr>
            <w:r w:rsidRPr="00384B8F">
              <w:rPr>
                <w:rFonts w:eastAsia="Calibri"/>
                <w:sz w:val="24"/>
                <w:szCs w:val="24"/>
              </w:rPr>
              <w:t>0.0000</w:t>
            </w:r>
          </w:p>
        </w:tc>
        <w:tc>
          <w:tcPr>
            <w:tcW w:w="2808" w:type="dxa"/>
            <w:tcMar>
              <w:top w:w="60" w:type="dxa"/>
              <w:left w:w="100" w:type="dxa"/>
              <w:bottom w:w="60" w:type="dxa"/>
              <w:right w:w="100" w:type="dxa"/>
            </w:tcMar>
          </w:tcPr>
          <w:p w14:paraId="73719C66" w14:textId="77777777" w:rsidR="00042537" w:rsidRPr="00384B8F" w:rsidRDefault="00000000">
            <w:pPr>
              <w:keepNext/>
              <w:jc w:val="center"/>
              <w:rPr>
                <w:sz w:val="24"/>
                <w:szCs w:val="24"/>
              </w:rPr>
            </w:pPr>
            <w:r w:rsidRPr="00384B8F">
              <w:rPr>
                <w:rFonts w:eastAsia="Calibri"/>
                <w:sz w:val="24"/>
                <w:szCs w:val="24"/>
              </w:rPr>
              <w:t>-0.0013</w:t>
            </w:r>
          </w:p>
        </w:tc>
      </w:tr>
      <w:tr w:rsidR="00384B8F" w:rsidRPr="00384B8F" w14:paraId="3423C47D" w14:textId="77777777">
        <w:tc>
          <w:tcPr>
            <w:tcW w:w="3744" w:type="dxa"/>
            <w:tcMar>
              <w:top w:w="60" w:type="dxa"/>
              <w:left w:w="100" w:type="dxa"/>
              <w:bottom w:w="60" w:type="dxa"/>
              <w:right w:w="100" w:type="dxa"/>
            </w:tcMar>
          </w:tcPr>
          <w:p w14:paraId="0F78E35B" w14:textId="77777777" w:rsidR="00042537" w:rsidRPr="00384B8F" w:rsidRDefault="00000000">
            <w:pPr>
              <w:keepNext/>
              <w:rPr>
                <w:sz w:val="24"/>
                <w:szCs w:val="24"/>
              </w:rPr>
            </w:pPr>
            <w:r w:rsidRPr="00384B8F">
              <w:rPr>
                <w:rFonts w:eastAsia="Calibri"/>
                <w:sz w:val="24"/>
                <w:szCs w:val="24"/>
              </w:rPr>
              <w:t>Coeficiente de determinación</w:t>
            </w:r>
          </w:p>
        </w:tc>
        <w:tc>
          <w:tcPr>
            <w:tcW w:w="2808" w:type="dxa"/>
            <w:tcMar>
              <w:top w:w="60" w:type="dxa"/>
              <w:left w:w="100" w:type="dxa"/>
              <w:bottom w:w="60" w:type="dxa"/>
              <w:right w:w="100" w:type="dxa"/>
            </w:tcMar>
          </w:tcPr>
          <w:p w14:paraId="2BB6CAC3" w14:textId="77777777" w:rsidR="00042537" w:rsidRPr="00384B8F" w:rsidRDefault="00000000">
            <w:pPr>
              <w:keepNext/>
              <w:jc w:val="center"/>
              <w:rPr>
                <w:sz w:val="24"/>
                <w:szCs w:val="24"/>
              </w:rPr>
            </w:pPr>
            <w:r w:rsidRPr="00384B8F">
              <w:rPr>
                <w:rFonts w:eastAsia="Calibri"/>
                <w:sz w:val="24"/>
                <w:szCs w:val="24"/>
              </w:rPr>
              <w:t>0.3561</w:t>
            </w:r>
          </w:p>
        </w:tc>
        <w:tc>
          <w:tcPr>
            <w:tcW w:w="2808" w:type="dxa"/>
            <w:tcMar>
              <w:top w:w="60" w:type="dxa"/>
              <w:left w:w="100" w:type="dxa"/>
              <w:bottom w:w="60" w:type="dxa"/>
              <w:right w:w="100" w:type="dxa"/>
            </w:tcMar>
          </w:tcPr>
          <w:p w14:paraId="1E8D773B" w14:textId="77777777" w:rsidR="00042537" w:rsidRPr="00384B8F" w:rsidRDefault="00000000">
            <w:pPr>
              <w:keepNext/>
              <w:jc w:val="center"/>
              <w:rPr>
                <w:sz w:val="24"/>
                <w:szCs w:val="24"/>
              </w:rPr>
            </w:pPr>
            <w:r w:rsidRPr="00384B8F">
              <w:rPr>
                <w:rFonts w:eastAsia="Calibri"/>
                <w:sz w:val="24"/>
                <w:szCs w:val="24"/>
              </w:rPr>
              <w:t>0.4536</w:t>
            </w:r>
          </w:p>
        </w:tc>
      </w:tr>
      <w:tr w:rsidR="00384B8F" w:rsidRPr="00384B8F" w14:paraId="21D9A4E9" w14:textId="77777777">
        <w:tc>
          <w:tcPr>
            <w:tcW w:w="3744" w:type="dxa"/>
            <w:tcMar>
              <w:top w:w="60" w:type="dxa"/>
              <w:left w:w="100" w:type="dxa"/>
              <w:bottom w:w="60" w:type="dxa"/>
              <w:right w:w="100" w:type="dxa"/>
            </w:tcMar>
          </w:tcPr>
          <w:p w14:paraId="5B35AFC6" w14:textId="77777777" w:rsidR="00042537" w:rsidRPr="00384B8F" w:rsidRDefault="00000000">
            <w:pPr>
              <w:keepNext/>
              <w:rPr>
                <w:sz w:val="24"/>
                <w:szCs w:val="24"/>
              </w:rPr>
            </w:pPr>
            <w:r w:rsidRPr="00384B8F">
              <w:rPr>
                <w:rFonts w:eastAsia="Calibri"/>
                <w:sz w:val="24"/>
                <w:szCs w:val="24"/>
              </w:rPr>
              <w:t>Coeficiente de correlación</w:t>
            </w:r>
          </w:p>
        </w:tc>
        <w:tc>
          <w:tcPr>
            <w:tcW w:w="2808" w:type="dxa"/>
            <w:tcMar>
              <w:top w:w="60" w:type="dxa"/>
              <w:left w:w="100" w:type="dxa"/>
              <w:bottom w:w="60" w:type="dxa"/>
              <w:right w:w="100" w:type="dxa"/>
            </w:tcMar>
          </w:tcPr>
          <w:p w14:paraId="35A519E5" w14:textId="77777777" w:rsidR="00042537" w:rsidRPr="00384B8F" w:rsidRDefault="00000000">
            <w:pPr>
              <w:keepNext/>
              <w:jc w:val="center"/>
              <w:rPr>
                <w:sz w:val="24"/>
                <w:szCs w:val="24"/>
              </w:rPr>
            </w:pPr>
            <w:r w:rsidRPr="00384B8F">
              <w:rPr>
                <w:rFonts w:eastAsia="Calibri"/>
                <w:sz w:val="24"/>
                <w:szCs w:val="24"/>
              </w:rPr>
              <w:t>0.5967</w:t>
            </w:r>
          </w:p>
        </w:tc>
        <w:tc>
          <w:tcPr>
            <w:tcW w:w="2808" w:type="dxa"/>
            <w:tcMar>
              <w:top w:w="60" w:type="dxa"/>
              <w:left w:w="100" w:type="dxa"/>
              <w:bottom w:w="60" w:type="dxa"/>
              <w:right w:w="100" w:type="dxa"/>
            </w:tcMar>
          </w:tcPr>
          <w:p w14:paraId="19DF2D4D" w14:textId="77777777" w:rsidR="00042537" w:rsidRPr="00384B8F" w:rsidRDefault="00000000">
            <w:pPr>
              <w:keepNext/>
              <w:jc w:val="center"/>
              <w:rPr>
                <w:sz w:val="24"/>
                <w:szCs w:val="24"/>
              </w:rPr>
            </w:pPr>
            <w:r w:rsidRPr="00384B8F">
              <w:rPr>
                <w:rFonts w:eastAsia="Calibri"/>
                <w:sz w:val="24"/>
                <w:szCs w:val="24"/>
              </w:rPr>
              <w:t>0.6735</w:t>
            </w:r>
          </w:p>
        </w:tc>
      </w:tr>
    </w:tbl>
    <w:p w14:paraId="3598527E" w14:textId="77777777" w:rsidR="00042537" w:rsidRPr="00384B8F" w:rsidRDefault="00000000">
      <w:pPr>
        <w:spacing w:after="140"/>
        <w:jc w:val="center"/>
        <w:rPr>
          <w:sz w:val="24"/>
          <w:szCs w:val="24"/>
        </w:rPr>
      </w:pPr>
      <w:r w:rsidRPr="00384B8F">
        <w:rPr>
          <w:rFonts w:eastAsia="Calibri"/>
          <w:i/>
          <w:iCs/>
          <w:sz w:val="24"/>
          <w:szCs w:val="24"/>
        </w:rPr>
        <w:t>Tabla 1. Coeficientes de ambos modelos sobre variables estandarizadas, por lo que son comparables entre sí.</w:t>
      </w:r>
    </w:p>
    <w:p w14:paraId="2FA16911" w14:textId="77777777" w:rsidR="00042537" w:rsidRPr="00384B8F" w:rsidRDefault="00000000">
      <w:pPr>
        <w:spacing w:after="110" w:line="250" w:lineRule="auto"/>
        <w:rPr>
          <w:sz w:val="24"/>
          <w:szCs w:val="24"/>
        </w:rPr>
      </w:pPr>
      <w:r w:rsidRPr="00384B8F">
        <w:rPr>
          <w:rFonts w:eastAsia="Calibri"/>
          <w:sz w:val="24"/>
          <w:szCs w:val="24"/>
        </w:rPr>
        <w:t>El hallazgo relevante de la comparación es que el coeficiente del precio unitario baja 17%, de 0.5967 a 0.4956, al pasar al modelo múltiple. En el modelo simple ese coeficiente venía inflado porque cargaba con el efecto del volumen: al no estar las unidades en la ecuación, el precio absorbía parte de su influencia. Cuando las unidades entran con su propio coeficiente de 0.2629, el precio queda con el peso que realmente le corresponde. Leer el modelo simple sin esta corrección llevaría a sobrestimar en una quinta parte el efecto de una política de precios.</w:t>
      </w:r>
    </w:p>
    <w:p w14:paraId="5E487AFB" w14:textId="77777777" w:rsidR="00042537" w:rsidRPr="00384B8F" w:rsidRDefault="00000000">
      <w:pPr>
        <w:spacing w:after="110" w:line="250" w:lineRule="auto"/>
        <w:rPr>
          <w:sz w:val="24"/>
          <w:szCs w:val="24"/>
        </w:rPr>
      </w:pPr>
      <w:r w:rsidRPr="00384B8F">
        <w:rPr>
          <w:rFonts w:eastAsia="Calibri"/>
          <w:sz w:val="24"/>
          <w:szCs w:val="24"/>
        </w:rPr>
        <w:t xml:space="preserve">El resto de los coeficientes ordena el catálogo: una línea de AIDITE suma 0.12 desviaciones al monto contra la marca de referencia, mientras que VITA resta 0.16 por tratarse de consumible de </w:t>
      </w:r>
      <w:proofErr w:type="gramStart"/>
      <w:r w:rsidRPr="00384B8F">
        <w:rPr>
          <w:rFonts w:eastAsia="Calibri"/>
          <w:sz w:val="24"/>
          <w:szCs w:val="24"/>
        </w:rPr>
        <w:t>ticket</w:t>
      </w:r>
      <w:proofErr w:type="gramEnd"/>
      <w:r w:rsidRPr="00384B8F">
        <w:rPr>
          <w:rFonts w:eastAsia="Calibri"/>
          <w:sz w:val="24"/>
          <w:szCs w:val="24"/>
        </w:rPr>
        <w:t xml:space="preserve"> bajo. El canal CP0 es el de mayor monto por línea y la Ciudad de México queda ligeramente por debajo del promedio nacional.</w:t>
      </w:r>
    </w:p>
    <w:p w14:paraId="1DA2C5CE" w14:textId="77777777" w:rsidR="00042537" w:rsidRPr="00384B8F" w:rsidRDefault="00000000">
      <w:pPr>
        <w:pStyle w:val="Ttulo1"/>
        <w:spacing w:before="220" w:after="120"/>
        <w:rPr>
          <w:color w:val="auto"/>
          <w:sz w:val="24"/>
          <w:szCs w:val="24"/>
        </w:rPr>
      </w:pPr>
      <w:r w:rsidRPr="00384B8F">
        <w:rPr>
          <w:rFonts w:eastAsia="Calibri"/>
          <w:b/>
          <w:bCs/>
          <w:color w:val="auto"/>
          <w:sz w:val="24"/>
          <w:szCs w:val="24"/>
        </w:rPr>
        <w:t xml:space="preserve">3. Clasificación de ventas de </w:t>
      </w:r>
      <w:proofErr w:type="gramStart"/>
      <w:r w:rsidRPr="00384B8F">
        <w:rPr>
          <w:rFonts w:eastAsia="Calibri"/>
          <w:b/>
          <w:bCs/>
          <w:color w:val="auto"/>
          <w:sz w:val="24"/>
          <w:szCs w:val="24"/>
        </w:rPr>
        <w:t>ticket</w:t>
      </w:r>
      <w:proofErr w:type="gramEnd"/>
      <w:r w:rsidRPr="00384B8F">
        <w:rPr>
          <w:rFonts w:eastAsia="Calibri"/>
          <w:b/>
          <w:bCs/>
          <w:color w:val="auto"/>
          <w:sz w:val="24"/>
          <w:szCs w:val="24"/>
        </w:rPr>
        <w:t xml:space="preserve"> alto</w:t>
      </w:r>
    </w:p>
    <w:p w14:paraId="088B226B" w14:textId="77777777" w:rsidR="00042537" w:rsidRPr="00384B8F" w:rsidRDefault="00000000">
      <w:pPr>
        <w:spacing w:after="110" w:line="250" w:lineRule="auto"/>
        <w:rPr>
          <w:sz w:val="24"/>
          <w:szCs w:val="24"/>
        </w:rPr>
      </w:pPr>
      <w:r w:rsidRPr="00384B8F">
        <w:rPr>
          <w:rFonts w:eastAsia="Calibri"/>
          <w:sz w:val="24"/>
          <w:szCs w:val="24"/>
        </w:rPr>
        <w:t>Se creó la variable dicotómica venta premium, que marca las líneas dentro del 25% de mayor monto facturado, porque permite anticipar dónde se concentra el ingreso. Las predictoras se limitaron a lo que la empresa conoce antes de cerrar la venta: marca, estado, vendedor, canal y temporalidad. Se excluyeron el monto y sus factores, ya que el modelo acertaría por definición. La división de entrenamiento y prueba fue estratificada en 70/30 para conservar la proporción de clases.</w:t>
      </w:r>
    </w:p>
    <w:tbl>
      <w:tblPr>
        <w:tblW w:w="9360" w:type="dxa"/>
        <w:tblBorders>
          <w:top w:val="single" w:sz="4" w:space="0" w:color="D9D9D6"/>
          <w:left w:val="none" w:sz="0" w:space="0" w:color="FFFFFF"/>
          <w:bottom w:val="single" w:sz="4" w:space="0" w:color="D9D9D6"/>
          <w:right w:val="none" w:sz="0" w:space="0" w:color="FFFFFF"/>
          <w:insideH w:val="single" w:sz="2" w:space="0" w:color="D9D9D6"/>
          <w:insideV w:val="none" w:sz="0" w:space="0" w:color="FFFFFF"/>
        </w:tblBorders>
        <w:tblLook w:val="04A0" w:firstRow="1" w:lastRow="0" w:firstColumn="1" w:lastColumn="0" w:noHBand="0" w:noVBand="1"/>
      </w:tblPr>
      <w:tblGrid>
        <w:gridCol w:w="3184"/>
        <w:gridCol w:w="1544"/>
        <w:gridCol w:w="1544"/>
        <w:gridCol w:w="1544"/>
        <w:gridCol w:w="1544"/>
      </w:tblGrid>
      <w:tr w:rsidR="00384B8F" w:rsidRPr="00384B8F" w14:paraId="6369456A" w14:textId="77777777">
        <w:trPr>
          <w:tblHeader/>
        </w:trPr>
        <w:tc>
          <w:tcPr>
            <w:tcW w:w="3184" w:type="dxa"/>
            <w:shd w:val="clear" w:color="auto" w:fill="EDF2F8"/>
            <w:tcMar>
              <w:top w:w="60" w:type="dxa"/>
              <w:left w:w="100" w:type="dxa"/>
              <w:bottom w:w="60" w:type="dxa"/>
              <w:right w:w="100" w:type="dxa"/>
            </w:tcMar>
          </w:tcPr>
          <w:p w14:paraId="5CB40749" w14:textId="77777777" w:rsidR="00042537" w:rsidRPr="00384B8F" w:rsidRDefault="00000000">
            <w:pPr>
              <w:keepNext/>
              <w:rPr>
                <w:sz w:val="24"/>
                <w:szCs w:val="24"/>
              </w:rPr>
            </w:pPr>
            <w:r w:rsidRPr="00384B8F">
              <w:rPr>
                <w:rFonts w:eastAsia="Calibri"/>
                <w:b/>
                <w:bCs/>
                <w:sz w:val="24"/>
                <w:szCs w:val="24"/>
              </w:rPr>
              <w:t>Modelo</w:t>
            </w:r>
          </w:p>
        </w:tc>
        <w:tc>
          <w:tcPr>
            <w:tcW w:w="1544" w:type="dxa"/>
            <w:shd w:val="clear" w:color="auto" w:fill="EDF2F8"/>
            <w:tcMar>
              <w:top w:w="60" w:type="dxa"/>
              <w:left w:w="100" w:type="dxa"/>
              <w:bottom w:w="60" w:type="dxa"/>
              <w:right w:w="100" w:type="dxa"/>
            </w:tcMar>
          </w:tcPr>
          <w:p w14:paraId="01886001" w14:textId="77777777" w:rsidR="00042537" w:rsidRPr="00384B8F" w:rsidRDefault="00000000">
            <w:pPr>
              <w:keepNext/>
              <w:jc w:val="center"/>
              <w:rPr>
                <w:sz w:val="24"/>
                <w:szCs w:val="24"/>
              </w:rPr>
            </w:pPr>
            <w:r w:rsidRPr="00384B8F">
              <w:rPr>
                <w:rFonts w:eastAsia="Calibri"/>
                <w:b/>
                <w:bCs/>
                <w:sz w:val="24"/>
                <w:szCs w:val="24"/>
              </w:rPr>
              <w:t>Exactitud</w:t>
            </w:r>
          </w:p>
        </w:tc>
        <w:tc>
          <w:tcPr>
            <w:tcW w:w="1544" w:type="dxa"/>
            <w:shd w:val="clear" w:color="auto" w:fill="EDF2F8"/>
            <w:tcMar>
              <w:top w:w="60" w:type="dxa"/>
              <w:left w:w="100" w:type="dxa"/>
              <w:bottom w:w="60" w:type="dxa"/>
              <w:right w:w="100" w:type="dxa"/>
            </w:tcMar>
          </w:tcPr>
          <w:p w14:paraId="67D7A9BA" w14:textId="77777777" w:rsidR="00042537" w:rsidRPr="00384B8F" w:rsidRDefault="00000000">
            <w:pPr>
              <w:keepNext/>
              <w:jc w:val="center"/>
              <w:rPr>
                <w:sz w:val="24"/>
                <w:szCs w:val="24"/>
              </w:rPr>
            </w:pPr>
            <w:r w:rsidRPr="00384B8F">
              <w:rPr>
                <w:rFonts w:eastAsia="Calibri"/>
                <w:b/>
                <w:bCs/>
                <w:sz w:val="24"/>
                <w:szCs w:val="24"/>
              </w:rPr>
              <w:t>Precisión</w:t>
            </w:r>
          </w:p>
        </w:tc>
        <w:tc>
          <w:tcPr>
            <w:tcW w:w="1544" w:type="dxa"/>
            <w:shd w:val="clear" w:color="auto" w:fill="EDF2F8"/>
            <w:tcMar>
              <w:top w:w="60" w:type="dxa"/>
              <w:left w:w="100" w:type="dxa"/>
              <w:bottom w:w="60" w:type="dxa"/>
              <w:right w:w="100" w:type="dxa"/>
            </w:tcMar>
          </w:tcPr>
          <w:p w14:paraId="57973A95" w14:textId="77777777" w:rsidR="00042537" w:rsidRPr="00384B8F" w:rsidRDefault="00000000">
            <w:pPr>
              <w:keepNext/>
              <w:jc w:val="center"/>
              <w:rPr>
                <w:sz w:val="24"/>
                <w:szCs w:val="24"/>
              </w:rPr>
            </w:pPr>
            <w:r w:rsidRPr="00384B8F">
              <w:rPr>
                <w:rFonts w:eastAsia="Calibri"/>
                <w:b/>
                <w:bCs/>
                <w:sz w:val="24"/>
                <w:szCs w:val="24"/>
              </w:rPr>
              <w:t>Sensibilidad</w:t>
            </w:r>
          </w:p>
        </w:tc>
        <w:tc>
          <w:tcPr>
            <w:tcW w:w="1544" w:type="dxa"/>
            <w:shd w:val="clear" w:color="auto" w:fill="EDF2F8"/>
            <w:tcMar>
              <w:top w:w="60" w:type="dxa"/>
              <w:left w:w="100" w:type="dxa"/>
              <w:bottom w:w="60" w:type="dxa"/>
              <w:right w:w="100" w:type="dxa"/>
            </w:tcMar>
          </w:tcPr>
          <w:p w14:paraId="5FAF4EA7" w14:textId="77777777" w:rsidR="00042537" w:rsidRPr="00384B8F" w:rsidRDefault="00000000">
            <w:pPr>
              <w:keepNext/>
              <w:jc w:val="center"/>
              <w:rPr>
                <w:sz w:val="24"/>
                <w:szCs w:val="24"/>
              </w:rPr>
            </w:pPr>
            <w:r w:rsidRPr="00384B8F">
              <w:rPr>
                <w:rFonts w:eastAsia="Calibri"/>
                <w:b/>
                <w:bCs/>
                <w:sz w:val="24"/>
                <w:szCs w:val="24"/>
              </w:rPr>
              <w:t>F1</w:t>
            </w:r>
          </w:p>
        </w:tc>
      </w:tr>
      <w:tr w:rsidR="00384B8F" w:rsidRPr="00384B8F" w14:paraId="6254C391" w14:textId="77777777">
        <w:tc>
          <w:tcPr>
            <w:tcW w:w="3184" w:type="dxa"/>
            <w:tcMar>
              <w:top w:w="60" w:type="dxa"/>
              <w:left w:w="100" w:type="dxa"/>
              <w:bottom w:w="60" w:type="dxa"/>
              <w:right w:w="100" w:type="dxa"/>
            </w:tcMar>
          </w:tcPr>
          <w:p w14:paraId="5898F129" w14:textId="77777777" w:rsidR="00042537" w:rsidRPr="00384B8F" w:rsidRDefault="00000000">
            <w:pPr>
              <w:keepNext/>
              <w:rPr>
                <w:sz w:val="24"/>
                <w:szCs w:val="24"/>
              </w:rPr>
            </w:pPr>
            <w:r w:rsidRPr="00384B8F">
              <w:rPr>
                <w:rFonts w:eastAsia="Calibri"/>
                <w:sz w:val="24"/>
                <w:szCs w:val="24"/>
              </w:rPr>
              <w:t>Base sin tratamiento</w:t>
            </w:r>
          </w:p>
        </w:tc>
        <w:tc>
          <w:tcPr>
            <w:tcW w:w="1544" w:type="dxa"/>
            <w:tcMar>
              <w:top w:w="60" w:type="dxa"/>
              <w:left w:w="100" w:type="dxa"/>
              <w:bottom w:w="60" w:type="dxa"/>
              <w:right w:w="100" w:type="dxa"/>
            </w:tcMar>
          </w:tcPr>
          <w:p w14:paraId="7E68A32F" w14:textId="77777777" w:rsidR="00042537" w:rsidRPr="00384B8F" w:rsidRDefault="00000000">
            <w:pPr>
              <w:keepNext/>
              <w:jc w:val="center"/>
              <w:rPr>
                <w:sz w:val="24"/>
                <w:szCs w:val="24"/>
              </w:rPr>
            </w:pPr>
            <w:r w:rsidRPr="00384B8F">
              <w:rPr>
                <w:rFonts w:eastAsia="Calibri"/>
                <w:sz w:val="24"/>
                <w:szCs w:val="24"/>
              </w:rPr>
              <w:t>0.764</w:t>
            </w:r>
          </w:p>
        </w:tc>
        <w:tc>
          <w:tcPr>
            <w:tcW w:w="1544" w:type="dxa"/>
            <w:tcMar>
              <w:top w:w="60" w:type="dxa"/>
              <w:left w:w="100" w:type="dxa"/>
              <w:bottom w:w="60" w:type="dxa"/>
              <w:right w:w="100" w:type="dxa"/>
            </w:tcMar>
          </w:tcPr>
          <w:p w14:paraId="0F49347E" w14:textId="77777777" w:rsidR="00042537" w:rsidRPr="00384B8F" w:rsidRDefault="00000000">
            <w:pPr>
              <w:keepNext/>
              <w:jc w:val="center"/>
              <w:rPr>
                <w:sz w:val="24"/>
                <w:szCs w:val="24"/>
              </w:rPr>
            </w:pPr>
            <w:r w:rsidRPr="00384B8F">
              <w:rPr>
                <w:rFonts w:eastAsia="Calibri"/>
                <w:sz w:val="24"/>
                <w:szCs w:val="24"/>
              </w:rPr>
              <w:t>0.550</w:t>
            </w:r>
          </w:p>
        </w:tc>
        <w:tc>
          <w:tcPr>
            <w:tcW w:w="1544" w:type="dxa"/>
            <w:tcMar>
              <w:top w:w="60" w:type="dxa"/>
              <w:left w:w="100" w:type="dxa"/>
              <w:bottom w:w="60" w:type="dxa"/>
              <w:right w:w="100" w:type="dxa"/>
            </w:tcMar>
          </w:tcPr>
          <w:p w14:paraId="066F8757" w14:textId="77777777" w:rsidR="00042537" w:rsidRPr="00384B8F" w:rsidRDefault="00000000">
            <w:pPr>
              <w:keepNext/>
              <w:jc w:val="center"/>
              <w:rPr>
                <w:sz w:val="24"/>
                <w:szCs w:val="24"/>
              </w:rPr>
            </w:pPr>
            <w:r w:rsidRPr="00384B8F">
              <w:rPr>
                <w:rFonts w:eastAsia="Calibri"/>
                <w:sz w:val="24"/>
                <w:szCs w:val="24"/>
              </w:rPr>
              <w:t>0.303</w:t>
            </w:r>
          </w:p>
        </w:tc>
        <w:tc>
          <w:tcPr>
            <w:tcW w:w="1544" w:type="dxa"/>
            <w:tcMar>
              <w:top w:w="60" w:type="dxa"/>
              <w:left w:w="100" w:type="dxa"/>
              <w:bottom w:w="60" w:type="dxa"/>
              <w:right w:w="100" w:type="dxa"/>
            </w:tcMar>
          </w:tcPr>
          <w:p w14:paraId="7FA7C59B" w14:textId="77777777" w:rsidR="00042537" w:rsidRPr="00384B8F" w:rsidRDefault="00000000">
            <w:pPr>
              <w:keepNext/>
              <w:jc w:val="center"/>
              <w:rPr>
                <w:sz w:val="24"/>
                <w:szCs w:val="24"/>
              </w:rPr>
            </w:pPr>
            <w:r w:rsidRPr="00384B8F">
              <w:rPr>
                <w:rFonts w:eastAsia="Calibri"/>
                <w:sz w:val="24"/>
                <w:szCs w:val="24"/>
              </w:rPr>
              <w:t>0.390</w:t>
            </w:r>
          </w:p>
        </w:tc>
      </w:tr>
      <w:tr w:rsidR="00384B8F" w:rsidRPr="00384B8F" w14:paraId="1C58CA51" w14:textId="77777777">
        <w:tc>
          <w:tcPr>
            <w:tcW w:w="3184" w:type="dxa"/>
            <w:tcMar>
              <w:top w:w="60" w:type="dxa"/>
              <w:left w:w="100" w:type="dxa"/>
              <w:bottom w:w="60" w:type="dxa"/>
              <w:right w:w="100" w:type="dxa"/>
            </w:tcMar>
          </w:tcPr>
          <w:p w14:paraId="68DF800B" w14:textId="77777777" w:rsidR="00042537" w:rsidRPr="00384B8F" w:rsidRDefault="00000000">
            <w:pPr>
              <w:keepNext/>
              <w:rPr>
                <w:sz w:val="24"/>
                <w:szCs w:val="24"/>
              </w:rPr>
            </w:pPr>
            <w:r w:rsidRPr="00384B8F">
              <w:rPr>
                <w:rFonts w:eastAsia="Calibri"/>
                <w:sz w:val="24"/>
                <w:szCs w:val="24"/>
              </w:rPr>
              <w:t>Reponderación de clases</w:t>
            </w:r>
          </w:p>
        </w:tc>
        <w:tc>
          <w:tcPr>
            <w:tcW w:w="1544" w:type="dxa"/>
            <w:tcMar>
              <w:top w:w="60" w:type="dxa"/>
              <w:left w:w="100" w:type="dxa"/>
              <w:bottom w:w="60" w:type="dxa"/>
              <w:right w:w="100" w:type="dxa"/>
            </w:tcMar>
          </w:tcPr>
          <w:p w14:paraId="61401530" w14:textId="77777777" w:rsidR="00042537" w:rsidRPr="00384B8F" w:rsidRDefault="00000000">
            <w:pPr>
              <w:keepNext/>
              <w:jc w:val="center"/>
              <w:rPr>
                <w:sz w:val="24"/>
                <w:szCs w:val="24"/>
              </w:rPr>
            </w:pPr>
            <w:r w:rsidRPr="00384B8F">
              <w:rPr>
                <w:rFonts w:eastAsia="Calibri"/>
                <w:sz w:val="24"/>
                <w:szCs w:val="24"/>
              </w:rPr>
              <w:t>0.700</w:t>
            </w:r>
          </w:p>
        </w:tc>
        <w:tc>
          <w:tcPr>
            <w:tcW w:w="1544" w:type="dxa"/>
            <w:tcMar>
              <w:top w:w="60" w:type="dxa"/>
              <w:left w:w="100" w:type="dxa"/>
              <w:bottom w:w="60" w:type="dxa"/>
              <w:right w:w="100" w:type="dxa"/>
            </w:tcMar>
          </w:tcPr>
          <w:p w14:paraId="7279C18E" w14:textId="77777777" w:rsidR="00042537" w:rsidRPr="00384B8F" w:rsidRDefault="00000000">
            <w:pPr>
              <w:keepNext/>
              <w:jc w:val="center"/>
              <w:rPr>
                <w:sz w:val="24"/>
                <w:szCs w:val="24"/>
              </w:rPr>
            </w:pPr>
            <w:r w:rsidRPr="00384B8F">
              <w:rPr>
                <w:rFonts w:eastAsia="Calibri"/>
                <w:sz w:val="24"/>
                <w:szCs w:val="24"/>
              </w:rPr>
              <w:t>0.443</w:t>
            </w:r>
          </w:p>
        </w:tc>
        <w:tc>
          <w:tcPr>
            <w:tcW w:w="1544" w:type="dxa"/>
            <w:tcMar>
              <w:top w:w="60" w:type="dxa"/>
              <w:left w:w="100" w:type="dxa"/>
              <w:bottom w:w="60" w:type="dxa"/>
              <w:right w:w="100" w:type="dxa"/>
            </w:tcMar>
          </w:tcPr>
          <w:p w14:paraId="44034CBD" w14:textId="77777777" w:rsidR="00042537" w:rsidRPr="00384B8F" w:rsidRDefault="00000000">
            <w:pPr>
              <w:keepNext/>
              <w:jc w:val="center"/>
              <w:rPr>
                <w:sz w:val="24"/>
                <w:szCs w:val="24"/>
              </w:rPr>
            </w:pPr>
            <w:r w:rsidRPr="00384B8F">
              <w:rPr>
                <w:rFonts w:eastAsia="Calibri"/>
                <w:sz w:val="24"/>
                <w:szCs w:val="24"/>
              </w:rPr>
              <w:t>0.782</w:t>
            </w:r>
          </w:p>
        </w:tc>
        <w:tc>
          <w:tcPr>
            <w:tcW w:w="1544" w:type="dxa"/>
            <w:tcMar>
              <w:top w:w="60" w:type="dxa"/>
              <w:left w:w="100" w:type="dxa"/>
              <w:bottom w:w="60" w:type="dxa"/>
              <w:right w:w="100" w:type="dxa"/>
            </w:tcMar>
          </w:tcPr>
          <w:p w14:paraId="4DA3B4B8" w14:textId="77777777" w:rsidR="00042537" w:rsidRPr="00384B8F" w:rsidRDefault="00000000">
            <w:pPr>
              <w:keepNext/>
              <w:jc w:val="center"/>
              <w:rPr>
                <w:sz w:val="24"/>
                <w:szCs w:val="24"/>
              </w:rPr>
            </w:pPr>
            <w:r w:rsidRPr="00384B8F">
              <w:rPr>
                <w:rFonts w:eastAsia="Calibri"/>
                <w:sz w:val="24"/>
                <w:szCs w:val="24"/>
              </w:rPr>
              <w:t>0.565</w:t>
            </w:r>
          </w:p>
        </w:tc>
      </w:tr>
      <w:tr w:rsidR="00384B8F" w:rsidRPr="00384B8F" w14:paraId="1B14CC36" w14:textId="77777777">
        <w:tc>
          <w:tcPr>
            <w:tcW w:w="3184" w:type="dxa"/>
            <w:tcMar>
              <w:top w:w="60" w:type="dxa"/>
              <w:left w:w="100" w:type="dxa"/>
              <w:bottom w:w="60" w:type="dxa"/>
              <w:right w:w="100" w:type="dxa"/>
            </w:tcMar>
          </w:tcPr>
          <w:p w14:paraId="1556463E" w14:textId="77777777" w:rsidR="00042537" w:rsidRPr="00384B8F" w:rsidRDefault="00000000">
            <w:pPr>
              <w:keepNext/>
              <w:rPr>
                <w:sz w:val="24"/>
                <w:szCs w:val="24"/>
              </w:rPr>
            </w:pPr>
            <w:proofErr w:type="spellStart"/>
            <w:r w:rsidRPr="00384B8F">
              <w:rPr>
                <w:rFonts w:eastAsia="Calibri"/>
                <w:sz w:val="24"/>
                <w:szCs w:val="24"/>
              </w:rPr>
              <w:t>Oversampling</w:t>
            </w:r>
            <w:proofErr w:type="spellEnd"/>
            <w:r w:rsidRPr="00384B8F">
              <w:rPr>
                <w:rFonts w:eastAsia="Calibri"/>
                <w:sz w:val="24"/>
                <w:szCs w:val="24"/>
              </w:rPr>
              <w:t xml:space="preserve"> SMOTE</w:t>
            </w:r>
          </w:p>
        </w:tc>
        <w:tc>
          <w:tcPr>
            <w:tcW w:w="1544" w:type="dxa"/>
            <w:tcMar>
              <w:top w:w="60" w:type="dxa"/>
              <w:left w:w="100" w:type="dxa"/>
              <w:bottom w:w="60" w:type="dxa"/>
              <w:right w:w="100" w:type="dxa"/>
            </w:tcMar>
          </w:tcPr>
          <w:p w14:paraId="29D17092" w14:textId="77777777" w:rsidR="00042537" w:rsidRPr="00384B8F" w:rsidRDefault="00000000">
            <w:pPr>
              <w:keepNext/>
              <w:jc w:val="center"/>
              <w:rPr>
                <w:sz w:val="24"/>
                <w:szCs w:val="24"/>
              </w:rPr>
            </w:pPr>
            <w:r w:rsidRPr="00384B8F">
              <w:rPr>
                <w:rFonts w:eastAsia="Calibri"/>
                <w:sz w:val="24"/>
                <w:szCs w:val="24"/>
              </w:rPr>
              <w:t>0.712</w:t>
            </w:r>
          </w:p>
        </w:tc>
        <w:tc>
          <w:tcPr>
            <w:tcW w:w="1544" w:type="dxa"/>
            <w:tcMar>
              <w:top w:w="60" w:type="dxa"/>
              <w:left w:w="100" w:type="dxa"/>
              <w:bottom w:w="60" w:type="dxa"/>
              <w:right w:w="100" w:type="dxa"/>
            </w:tcMar>
          </w:tcPr>
          <w:p w14:paraId="62D865C8" w14:textId="77777777" w:rsidR="00042537" w:rsidRPr="00384B8F" w:rsidRDefault="00000000">
            <w:pPr>
              <w:keepNext/>
              <w:jc w:val="center"/>
              <w:rPr>
                <w:sz w:val="24"/>
                <w:szCs w:val="24"/>
              </w:rPr>
            </w:pPr>
            <w:r w:rsidRPr="00384B8F">
              <w:rPr>
                <w:rFonts w:eastAsia="Calibri"/>
                <w:sz w:val="24"/>
                <w:szCs w:val="24"/>
              </w:rPr>
              <w:t>0.455</w:t>
            </w:r>
          </w:p>
        </w:tc>
        <w:tc>
          <w:tcPr>
            <w:tcW w:w="1544" w:type="dxa"/>
            <w:tcMar>
              <w:top w:w="60" w:type="dxa"/>
              <w:left w:w="100" w:type="dxa"/>
              <w:bottom w:w="60" w:type="dxa"/>
              <w:right w:w="100" w:type="dxa"/>
            </w:tcMar>
          </w:tcPr>
          <w:p w14:paraId="22C59435" w14:textId="77777777" w:rsidR="00042537" w:rsidRPr="00384B8F" w:rsidRDefault="00000000">
            <w:pPr>
              <w:keepNext/>
              <w:jc w:val="center"/>
              <w:rPr>
                <w:sz w:val="24"/>
                <w:szCs w:val="24"/>
              </w:rPr>
            </w:pPr>
            <w:r w:rsidRPr="00384B8F">
              <w:rPr>
                <w:rFonts w:eastAsia="Calibri"/>
                <w:sz w:val="24"/>
                <w:szCs w:val="24"/>
              </w:rPr>
              <w:t>0.766</w:t>
            </w:r>
          </w:p>
        </w:tc>
        <w:tc>
          <w:tcPr>
            <w:tcW w:w="1544" w:type="dxa"/>
            <w:tcMar>
              <w:top w:w="60" w:type="dxa"/>
              <w:left w:w="100" w:type="dxa"/>
              <w:bottom w:w="60" w:type="dxa"/>
              <w:right w:w="100" w:type="dxa"/>
            </w:tcMar>
          </w:tcPr>
          <w:p w14:paraId="10D373F9" w14:textId="77777777" w:rsidR="00042537" w:rsidRPr="00384B8F" w:rsidRDefault="00000000">
            <w:pPr>
              <w:keepNext/>
              <w:jc w:val="center"/>
              <w:rPr>
                <w:sz w:val="24"/>
                <w:szCs w:val="24"/>
              </w:rPr>
            </w:pPr>
            <w:r w:rsidRPr="00384B8F">
              <w:rPr>
                <w:rFonts w:eastAsia="Calibri"/>
                <w:sz w:val="24"/>
                <w:szCs w:val="24"/>
              </w:rPr>
              <w:t>0.571</w:t>
            </w:r>
          </w:p>
        </w:tc>
      </w:tr>
    </w:tbl>
    <w:p w14:paraId="07EAE24D" w14:textId="77777777" w:rsidR="00042537" w:rsidRPr="00384B8F" w:rsidRDefault="00000000">
      <w:pPr>
        <w:spacing w:after="140"/>
        <w:jc w:val="center"/>
        <w:rPr>
          <w:sz w:val="24"/>
          <w:szCs w:val="24"/>
        </w:rPr>
      </w:pPr>
      <w:r w:rsidRPr="00384B8F">
        <w:rPr>
          <w:rFonts w:eastAsia="Calibri"/>
          <w:i/>
          <w:iCs/>
          <w:sz w:val="24"/>
          <w:szCs w:val="24"/>
        </w:rPr>
        <w:t>Tabla 2. Métricas sobre el conjunto de prueba de 6,490 líneas, de las cuales 1,622 son premium.</w:t>
      </w:r>
    </w:p>
    <w:p w14:paraId="58F85DAB" w14:textId="77777777" w:rsidR="00042537" w:rsidRPr="00384B8F" w:rsidRDefault="00000000">
      <w:pPr>
        <w:spacing w:before="100" w:after="40"/>
        <w:jc w:val="center"/>
        <w:rPr>
          <w:sz w:val="24"/>
          <w:szCs w:val="24"/>
        </w:rPr>
      </w:pPr>
      <w:r w:rsidRPr="00384B8F">
        <w:rPr>
          <w:noProof/>
          <w:sz w:val="24"/>
          <w:szCs w:val="24"/>
        </w:rPr>
        <w:lastRenderedPageBreak/>
        <w:drawing>
          <wp:inline distT="0" distB="0" distL="0" distR="0" wp14:anchorId="78C08BA6" wp14:editId="0DBA4A88">
            <wp:extent cx="5943600" cy="19431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1943100"/>
                    </a:xfrm>
                    <a:prstGeom prst="rect">
                      <a:avLst/>
                    </a:prstGeom>
                  </pic:spPr>
                </pic:pic>
              </a:graphicData>
            </a:graphic>
          </wp:inline>
        </w:drawing>
      </w:r>
    </w:p>
    <w:p w14:paraId="4B2E3DB7" w14:textId="77777777" w:rsidR="00042537" w:rsidRPr="00384B8F" w:rsidRDefault="00000000">
      <w:pPr>
        <w:spacing w:after="140"/>
        <w:jc w:val="center"/>
        <w:rPr>
          <w:sz w:val="24"/>
          <w:szCs w:val="24"/>
        </w:rPr>
      </w:pPr>
      <w:r w:rsidRPr="00384B8F">
        <w:rPr>
          <w:rFonts w:eastAsia="Calibri"/>
          <w:i/>
          <w:iCs/>
          <w:sz w:val="24"/>
          <w:szCs w:val="24"/>
        </w:rPr>
        <w:t>Figura 2. Comparación de las cuatro métricas de clasificación según el tratamiento del desbalance.</w:t>
      </w:r>
    </w:p>
    <w:p w14:paraId="48027217" w14:textId="77777777" w:rsidR="00042537" w:rsidRPr="00384B8F" w:rsidRDefault="00000000">
      <w:pPr>
        <w:spacing w:after="110" w:line="250" w:lineRule="auto"/>
        <w:rPr>
          <w:sz w:val="24"/>
          <w:szCs w:val="24"/>
        </w:rPr>
      </w:pPr>
      <w:r w:rsidRPr="00384B8F">
        <w:rPr>
          <w:rFonts w:eastAsia="Calibri"/>
          <w:sz w:val="24"/>
          <w:szCs w:val="24"/>
        </w:rPr>
        <w:t>La exactitud del modelo base, 0.764, es engañosa: como solo una de cada cuatro líneas es premium, responder que ninguna lo es ya acierta el 75% de las veces. La métrica que importa aquí es la sensibilidad, y en el modelo base es de 0.303, es decir que de las 1,622 ventas premium del conjunto de prueba detecta 491 y deja pasar 1,131.</w:t>
      </w:r>
    </w:p>
    <w:p w14:paraId="20DFC9AE" w14:textId="77777777" w:rsidR="00042537" w:rsidRPr="00384B8F" w:rsidRDefault="00000000">
      <w:pPr>
        <w:spacing w:after="110" w:line="250" w:lineRule="auto"/>
        <w:rPr>
          <w:sz w:val="24"/>
          <w:szCs w:val="24"/>
        </w:rPr>
      </w:pPr>
      <w:r w:rsidRPr="00384B8F">
        <w:rPr>
          <w:rFonts w:eastAsia="Calibri"/>
          <w:sz w:val="24"/>
          <w:szCs w:val="24"/>
        </w:rPr>
        <w:t xml:space="preserve">Con reponderación de clases los aciertos suben a 1,268 ventas premium detectadas, 777 más que antes, a cambio de que los falsos positivos pasen de 402 a 1,595. El intercambio conviene al negocio: revisar una operación que resultó de monto normal cuesta mucho menos que dejar pasar una oportunidad de </w:t>
      </w:r>
      <w:proofErr w:type="gramStart"/>
      <w:r w:rsidRPr="00384B8F">
        <w:rPr>
          <w:rFonts w:eastAsia="Calibri"/>
          <w:sz w:val="24"/>
          <w:szCs w:val="24"/>
        </w:rPr>
        <w:t>ticket</w:t>
      </w:r>
      <w:proofErr w:type="gramEnd"/>
      <w:r w:rsidRPr="00384B8F">
        <w:rPr>
          <w:rFonts w:eastAsia="Calibri"/>
          <w:sz w:val="24"/>
          <w:szCs w:val="24"/>
        </w:rPr>
        <w:t xml:space="preserve"> alto. El </w:t>
      </w:r>
      <w:proofErr w:type="spellStart"/>
      <w:r w:rsidRPr="00384B8F">
        <w:rPr>
          <w:rFonts w:eastAsia="Calibri"/>
          <w:sz w:val="24"/>
          <w:szCs w:val="24"/>
        </w:rPr>
        <w:t>sobremuestreo</w:t>
      </w:r>
      <w:proofErr w:type="spellEnd"/>
      <w:r w:rsidRPr="00384B8F">
        <w:rPr>
          <w:rFonts w:eastAsia="Calibri"/>
          <w:sz w:val="24"/>
          <w:szCs w:val="24"/>
        </w:rPr>
        <w:t xml:space="preserve"> con SMOTE da resultados casi idénticos, por lo que se recomienda la reponderación, que no genera registros sintéticos y se aplica con un solo parámetro.</w:t>
      </w:r>
    </w:p>
    <w:p w14:paraId="4448CC36" w14:textId="77777777" w:rsidR="00042537" w:rsidRPr="00384B8F" w:rsidRDefault="00000000">
      <w:pPr>
        <w:pStyle w:val="Ttulo1"/>
        <w:spacing w:before="220" w:after="120"/>
        <w:rPr>
          <w:color w:val="auto"/>
          <w:sz w:val="24"/>
          <w:szCs w:val="24"/>
        </w:rPr>
      </w:pPr>
      <w:r w:rsidRPr="00384B8F">
        <w:rPr>
          <w:rFonts w:eastAsia="Calibri"/>
          <w:b/>
          <w:bCs/>
          <w:color w:val="auto"/>
          <w:sz w:val="24"/>
          <w:szCs w:val="24"/>
        </w:rPr>
        <w:t xml:space="preserve">4. Dónde está el </w:t>
      </w:r>
      <w:proofErr w:type="gramStart"/>
      <w:r w:rsidRPr="00384B8F">
        <w:rPr>
          <w:rFonts w:eastAsia="Calibri"/>
          <w:b/>
          <w:bCs/>
          <w:color w:val="auto"/>
          <w:sz w:val="24"/>
          <w:szCs w:val="24"/>
        </w:rPr>
        <w:t>ticket</w:t>
      </w:r>
      <w:proofErr w:type="gramEnd"/>
      <w:r w:rsidRPr="00384B8F">
        <w:rPr>
          <w:rFonts w:eastAsia="Calibri"/>
          <w:b/>
          <w:bCs/>
          <w:color w:val="auto"/>
          <w:sz w:val="24"/>
          <w:szCs w:val="24"/>
        </w:rPr>
        <w:t xml:space="preserve"> alto</w:t>
      </w:r>
    </w:p>
    <w:p w14:paraId="37CF0FB4" w14:textId="77777777" w:rsidR="00042537" w:rsidRPr="00384B8F" w:rsidRDefault="00000000">
      <w:pPr>
        <w:spacing w:after="110" w:line="250" w:lineRule="auto"/>
        <w:rPr>
          <w:sz w:val="24"/>
          <w:szCs w:val="24"/>
        </w:rPr>
      </w:pPr>
      <w:r w:rsidRPr="00384B8F">
        <w:rPr>
          <w:rFonts w:eastAsia="Calibri"/>
          <w:sz w:val="24"/>
          <w:szCs w:val="24"/>
        </w:rPr>
        <w:t>Los coeficientes del modelo balanceado señalan a la marca como la palanca dominante, muy por encima del vendedor y de la plaza.</w:t>
      </w:r>
    </w:p>
    <w:p w14:paraId="1D9A4F4C" w14:textId="77777777" w:rsidR="00042537" w:rsidRPr="00384B8F" w:rsidRDefault="00000000">
      <w:pPr>
        <w:spacing w:before="100" w:after="40"/>
        <w:jc w:val="center"/>
        <w:rPr>
          <w:sz w:val="24"/>
          <w:szCs w:val="24"/>
        </w:rPr>
      </w:pPr>
      <w:r w:rsidRPr="00384B8F">
        <w:rPr>
          <w:noProof/>
          <w:sz w:val="24"/>
          <w:szCs w:val="24"/>
        </w:rPr>
        <w:drawing>
          <wp:inline distT="0" distB="0" distL="0" distR="0" wp14:anchorId="3EC9F42F" wp14:editId="64A9926D">
            <wp:extent cx="5943600" cy="18669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1866900"/>
                    </a:xfrm>
                    <a:prstGeom prst="rect">
                      <a:avLst/>
                    </a:prstGeom>
                  </pic:spPr>
                </pic:pic>
              </a:graphicData>
            </a:graphic>
          </wp:inline>
        </w:drawing>
      </w:r>
    </w:p>
    <w:p w14:paraId="43E0E775" w14:textId="77777777" w:rsidR="00042537" w:rsidRPr="00384B8F" w:rsidRDefault="00000000">
      <w:pPr>
        <w:spacing w:after="140"/>
        <w:jc w:val="center"/>
        <w:rPr>
          <w:sz w:val="24"/>
          <w:szCs w:val="24"/>
        </w:rPr>
      </w:pPr>
      <w:r w:rsidRPr="00384B8F">
        <w:rPr>
          <w:rFonts w:eastAsia="Calibri"/>
          <w:i/>
          <w:iCs/>
          <w:sz w:val="24"/>
          <w:szCs w:val="24"/>
        </w:rPr>
        <w:t>Figura 3. Porcentaje de líneas que resultan venta premium, por marca.</w:t>
      </w:r>
    </w:p>
    <w:p w14:paraId="261C4CF8" w14:textId="77777777" w:rsidR="00042537" w:rsidRPr="00384B8F" w:rsidRDefault="00000000">
      <w:pPr>
        <w:spacing w:after="110" w:line="250" w:lineRule="auto"/>
        <w:rPr>
          <w:sz w:val="24"/>
          <w:szCs w:val="24"/>
        </w:rPr>
      </w:pPr>
      <w:r w:rsidRPr="00384B8F">
        <w:rPr>
          <w:rFonts w:eastAsia="Calibri"/>
          <w:sz w:val="24"/>
          <w:szCs w:val="24"/>
        </w:rPr>
        <w:t xml:space="preserve">Por canal de facturación la diferencia también es amplia: CP0 convierte 37.2% de sus líneas en venta premium contra 10.5% de XDF. Por plaza, Jalisco encabeza con 47.2% y la Ciudad de México queda en 13.9% pese a ser la de mayor volumen. La recomendación operativa es trabajar primero el </w:t>
      </w:r>
      <w:proofErr w:type="spellStart"/>
      <w:r w:rsidRPr="00384B8F">
        <w:rPr>
          <w:rFonts w:eastAsia="Calibri"/>
          <w:sz w:val="24"/>
          <w:szCs w:val="24"/>
        </w:rPr>
        <w:t>mix</w:t>
      </w:r>
      <w:proofErr w:type="spellEnd"/>
      <w:r w:rsidRPr="00384B8F">
        <w:rPr>
          <w:rFonts w:eastAsia="Calibri"/>
          <w:sz w:val="24"/>
          <w:szCs w:val="24"/>
        </w:rPr>
        <w:t xml:space="preserve"> de catálogo y la asignación de canal, y dejar la reasignación de territorios o vendedores como segunda prioridad.</w:t>
      </w:r>
    </w:p>
    <w:p w14:paraId="26C19B4A" w14:textId="77777777" w:rsidR="00042537" w:rsidRPr="00384B8F" w:rsidRDefault="00000000">
      <w:pPr>
        <w:pStyle w:val="Ttulo1"/>
        <w:spacing w:before="220" w:after="120"/>
        <w:rPr>
          <w:color w:val="auto"/>
          <w:sz w:val="24"/>
          <w:szCs w:val="24"/>
        </w:rPr>
      </w:pPr>
      <w:r w:rsidRPr="00384B8F">
        <w:rPr>
          <w:rFonts w:eastAsia="Calibri"/>
          <w:b/>
          <w:bCs/>
          <w:color w:val="auto"/>
          <w:sz w:val="24"/>
          <w:szCs w:val="24"/>
        </w:rPr>
        <w:t>5. Limitaciones y siguientes pasos</w:t>
      </w:r>
    </w:p>
    <w:p w14:paraId="6C6F2D83" w14:textId="77777777" w:rsidR="00042537" w:rsidRPr="00384B8F" w:rsidRDefault="00000000">
      <w:pPr>
        <w:pStyle w:val="Prrafodelista"/>
        <w:numPr>
          <w:ilvl w:val="0"/>
          <w:numId w:val="2"/>
        </w:numPr>
        <w:spacing w:after="80" w:line="250" w:lineRule="auto"/>
        <w:rPr>
          <w:sz w:val="24"/>
          <w:szCs w:val="24"/>
        </w:rPr>
      </w:pPr>
      <w:r w:rsidRPr="00384B8F">
        <w:rPr>
          <w:rFonts w:eastAsia="Calibri"/>
          <w:b/>
          <w:bCs/>
          <w:sz w:val="24"/>
          <w:szCs w:val="24"/>
        </w:rPr>
        <w:t xml:space="preserve">El tratamiento de </w:t>
      </w:r>
      <w:proofErr w:type="spellStart"/>
      <w:r w:rsidRPr="00384B8F">
        <w:rPr>
          <w:rFonts w:eastAsia="Calibri"/>
          <w:b/>
          <w:bCs/>
          <w:sz w:val="24"/>
          <w:szCs w:val="24"/>
        </w:rPr>
        <w:t>outliers</w:t>
      </w:r>
      <w:proofErr w:type="spellEnd"/>
      <w:r w:rsidRPr="00384B8F">
        <w:rPr>
          <w:rFonts w:eastAsia="Calibri"/>
          <w:b/>
          <w:bCs/>
          <w:sz w:val="24"/>
          <w:szCs w:val="24"/>
        </w:rPr>
        <w:t xml:space="preserve"> afectó la lectura de la marca de equipo. </w:t>
      </w:r>
      <w:r w:rsidRPr="00384B8F">
        <w:rPr>
          <w:rFonts w:eastAsia="Calibri"/>
          <w:sz w:val="24"/>
          <w:szCs w:val="24"/>
        </w:rPr>
        <w:t xml:space="preserve">MEDIT aparece con 8.4% de venta premium cuando en los datos originales es la marca de mayor </w:t>
      </w:r>
      <w:proofErr w:type="gramStart"/>
      <w:r w:rsidRPr="00384B8F">
        <w:rPr>
          <w:rFonts w:eastAsia="Calibri"/>
          <w:sz w:val="24"/>
          <w:szCs w:val="24"/>
        </w:rPr>
        <w:t>ticket</w:t>
      </w:r>
      <w:proofErr w:type="gramEnd"/>
      <w:r w:rsidRPr="00384B8F">
        <w:rPr>
          <w:rFonts w:eastAsia="Calibri"/>
          <w:sz w:val="24"/>
          <w:szCs w:val="24"/>
        </w:rPr>
        <w:t xml:space="preserve">, con una mediana de </w:t>
      </w:r>
      <w:r w:rsidRPr="00384B8F">
        <w:rPr>
          <w:rFonts w:eastAsia="Calibri"/>
          <w:sz w:val="24"/>
          <w:szCs w:val="24"/>
        </w:rPr>
        <w:lastRenderedPageBreak/>
        <w:t xml:space="preserve">94,828 pesos. El recorte por rango intercuartílico aplanó esas 334 líneas al valor de la mediana general. Para modelar la venta de equipo conviene repetir el </w:t>
      </w:r>
      <w:proofErr w:type="spellStart"/>
      <w:r w:rsidRPr="00384B8F">
        <w:rPr>
          <w:rFonts w:eastAsia="Calibri"/>
          <w:sz w:val="24"/>
          <w:szCs w:val="24"/>
        </w:rPr>
        <w:t>pre-procesamiento</w:t>
      </w:r>
      <w:proofErr w:type="spellEnd"/>
      <w:r w:rsidRPr="00384B8F">
        <w:rPr>
          <w:rFonts w:eastAsia="Calibri"/>
          <w:sz w:val="24"/>
          <w:szCs w:val="24"/>
        </w:rPr>
        <w:t xml:space="preserve"> con un criterio de 3 rangos intercuartílicos o un recorte por percentiles.</w:t>
      </w:r>
    </w:p>
    <w:p w14:paraId="0031ED4F" w14:textId="77777777" w:rsidR="00042537" w:rsidRPr="00384B8F" w:rsidRDefault="00000000">
      <w:pPr>
        <w:pStyle w:val="Prrafodelista"/>
        <w:numPr>
          <w:ilvl w:val="0"/>
          <w:numId w:val="2"/>
        </w:numPr>
        <w:spacing w:after="80" w:line="250" w:lineRule="auto"/>
        <w:rPr>
          <w:sz w:val="24"/>
          <w:szCs w:val="24"/>
        </w:rPr>
      </w:pPr>
      <w:r w:rsidRPr="00384B8F">
        <w:rPr>
          <w:rFonts w:eastAsia="Calibri"/>
          <w:b/>
          <w:bCs/>
          <w:sz w:val="24"/>
          <w:szCs w:val="24"/>
        </w:rPr>
        <w:t xml:space="preserve">El modelo lineal explica el 45% de la variación. </w:t>
      </w:r>
      <w:r w:rsidRPr="00384B8F">
        <w:rPr>
          <w:rFonts w:eastAsia="Calibri"/>
          <w:sz w:val="24"/>
          <w:szCs w:val="24"/>
        </w:rPr>
        <w:t>El resto se debe a que el monto es un producto de precio por unidades y no una suma, forma que una regresión lineal no reproduce de manera exacta.</w:t>
      </w:r>
    </w:p>
    <w:p w14:paraId="1669A6C6" w14:textId="77777777" w:rsidR="00042537" w:rsidRPr="00384B8F" w:rsidRDefault="00000000">
      <w:pPr>
        <w:pStyle w:val="Prrafodelista"/>
        <w:numPr>
          <w:ilvl w:val="0"/>
          <w:numId w:val="2"/>
        </w:numPr>
        <w:spacing w:after="80" w:line="250" w:lineRule="auto"/>
        <w:rPr>
          <w:sz w:val="24"/>
          <w:szCs w:val="24"/>
        </w:rPr>
      </w:pPr>
      <w:r w:rsidRPr="00384B8F">
        <w:rPr>
          <w:rFonts w:eastAsia="Calibri"/>
          <w:b/>
          <w:bCs/>
          <w:sz w:val="24"/>
          <w:szCs w:val="24"/>
        </w:rPr>
        <w:t xml:space="preserve">La precisión del clasificador es de 0.44. </w:t>
      </w:r>
      <w:r w:rsidRPr="00384B8F">
        <w:rPr>
          <w:rFonts w:eastAsia="Calibri"/>
          <w:sz w:val="24"/>
          <w:szCs w:val="24"/>
        </w:rPr>
        <w:t>De cada diez líneas marcadas como premium acierta entre cuatro y cinco, suficiente para priorizar esfuerzo comercial pero no para comprometer inventario sin revisión.</w:t>
      </w:r>
    </w:p>
    <w:p w14:paraId="6E2FC0D0" w14:textId="77777777" w:rsidR="00042537" w:rsidRPr="00384B8F" w:rsidRDefault="00000000">
      <w:pPr>
        <w:pStyle w:val="Prrafodelista"/>
        <w:numPr>
          <w:ilvl w:val="0"/>
          <w:numId w:val="2"/>
        </w:numPr>
        <w:spacing w:after="80" w:line="250" w:lineRule="auto"/>
        <w:rPr>
          <w:sz w:val="24"/>
          <w:szCs w:val="24"/>
        </w:rPr>
      </w:pPr>
      <w:r w:rsidRPr="00384B8F">
        <w:rPr>
          <w:rFonts w:eastAsia="Calibri"/>
          <w:b/>
          <w:bCs/>
          <w:sz w:val="24"/>
          <w:szCs w:val="24"/>
        </w:rPr>
        <w:t xml:space="preserve">Siguiente paso sugerido: </w:t>
      </w:r>
      <w:r w:rsidRPr="00384B8F">
        <w:rPr>
          <w:rFonts w:eastAsia="Calibri"/>
          <w:sz w:val="24"/>
          <w:szCs w:val="24"/>
        </w:rPr>
        <w:t xml:space="preserve">incorporar al modelo el historial del cliente, que se excluyó por tratarse de un identificador de alta cardinalidad. Agrupar clientes por volumen o antigüedad daría una variable con valor predictivo real sobre el </w:t>
      </w:r>
      <w:proofErr w:type="gramStart"/>
      <w:r w:rsidRPr="00384B8F">
        <w:rPr>
          <w:rFonts w:eastAsia="Calibri"/>
          <w:sz w:val="24"/>
          <w:szCs w:val="24"/>
        </w:rPr>
        <w:t>ticket</w:t>
      </w:r>
      <w:proofErr w:type="gramEnd"/>
      <w:r w:rsidRPr="00384B8F">
        <w:rPr>
          <w:rFonts w:eastAsia="Calibri"/>
          <w:sz w:val="24"/>
          <w:szCs w:val="24"/>
        </w:rPr>
        <w:t>.</w:t>
      </w:r>
    </w:p>
    <w:sectPr w:rsidR="00042537" w:rsidRPr="00384B8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7C575C"/>
    <w:multiLevelType w:val="hybridMultilevel"/>
    <w:tmpl w:val="786AE1B4"/>
    <w:lvl w:ilvl="0" w:tplc="37ECBFA8">
      <w:start w:val="1"/>
      <w:numFmt w:val="bullet"/>
      <w:lvlText w:val="•"/>
      <w:lvlJc w:val="left"/>
      <w:pPr>
        <w:ind w:left="403" w:hanging="259"/>
      </w:pPr>
    </w:lvl>
    <w:lvl w:ilvl="1" w:tplc="152802EE">
      <w:numFmt w:val="decimal"/>
      <w:lvlText w:val=""/>
      <w:lvlJc w:val="left"/>
    </w:lvl>
    <w:lvl w:ilvl="2" w:tplc="AFC0E092">
      <w:numFmt w:val="decimal"/>
      <w:lvlText w:val=""/>
      <w:lvlJc w:val="left"/>
    </w:lvl>
    <w:lvl w:ilvl="3" w:tplc="FD66EC96">
      <w:numFmt w:val="decimal"/>
      <w:lvlText w:val=""/>
      <w:lvlJc w:val="left"/>
    </w:lvl>
    <w:lvl w:ilvl="4" w:tplc="FEB073F0">
      <w:numFmt w:val="decimal"/>
      <w:lvlText w:val=""/>
      <w:lvlJc w:val="left"/>
    </w:lvl>
    <w:lvl w:ilvl="5" w:tplc="2110EBAE">
      <w:numFmt w:val="decimal"/>
      <w:lvlText w:val=""/>
      <w:lvlJc w:val="left"/>
    </w:lvl>
    <w:lvl w:ilvl="6" w:tplc="20E440AE">
      <w:numFmt w:val="decimal"/>
      <w:lvlText w:val=""/>
      <w:lvlJc w:val="left"/>
    </w:lvl>
    <w:lvl w:ilvl="7" w:tplc="A9525992">
      <w:numFmt w:val="decimal"/>
      <w:lvlText w:val=""/>
      <w:lvlJc w:val="left"/>
    </w:lvl>
    <w:lvl w:ilvl="8" w:tplc="B5CE0CD8">
      <w:numFmt w:val="decimal"/>
      <w:lvlText w:val=""/>
      <w:lvlJc w:val="left"/>
    </w:lvl>
  </w:abstractNum>
  <w:abstractNum w:abstractNumId="1" w15:restartNumberingAfterBreak="0">
    <w:nsid w:val="473E5FD7"/>
    <w:multiLevelType w:val="hybridMultilevel"/>
    <w:tmpl w:val="28B032E0"/>
    <w:lvl w:ilvl="0" w:tplc="38569AB6" w:tentative="1">
      <w:start w:val="1"/>
      <w:numFmt w:val="bullet"/>
      <w:lvlText w:val="●"/>
      <w:lvlJc w:val="left"/>
      <w:pPr>
        <w:ind w:left="720" w:hanging="360"/>
      </w:pPr>
    </w:lvl>
    <w:lvl w:ilvl="1" w:tplc="D062FCAA" w:tentative="1">
      <w:start w:val="1"/>
      <w:numFmt w:val="bullet"/>
      <w:lvlText w:val="○"/>
      <w:lvlJc w:val="left"/>
      <w:pPr>
        <w:ind w:left="1440" w:hanging="360"/>
      </w:pPr>
    </w:lvl>
    <w:lvl w:ilvl="2" w:tplc="B458438A" w:tentative="1">
      <w:start w:val="1"/>
      <w:numFmt w:val="bullet"/>
      <w:lvlText w:val="■"/>
      <w:lvlJc w:val="left"/>
      <w:pPr>
        <w:ind w:left="2160" w:hanging="360"/>
      </w:pPr>
    </w:lvl>
    <w:lvl w:ilvl="3" w:tplc="5E2E917A" w:tentative="1">
      <w:start w:val="1"/>
      <w:numFmt w:val="bullet"/>
      <w:lvlText w:val="●"/>
      <w:lvlJc w:val="left"/>
      <w:pPr>
        <w:ind w:left="2880" w:hanging="360"/>
      </w:pPr>
    </w:lvl>
    <w:lvl w:ilvl="4" w:tplc="7BAE2A9E" w:tentative="1">
      <w:start w:val="1"/>
      <w:numFmt w:val="bullet"/>
      <w:lvlText w:val="○"/>
      <w:lvlJc w:val="left"/>
      <w:pPr>
        <w:ind w:left="3600" w:hanging="360"/>
      </w:pPr>
    </w:lvl>
    <w:lvl w:ilvl="5" w:tplc="5BAEB526" w:tentative="1">
      <w:start w:val="1"/>
      <w:numFmt w:val="bullet"/>
      <w:lvlText w:val="■"/>
      <w:lvlJc w:val="left"/>
      <w:pPr>
        <w:ind w:left="4320" w:hanging="360"/>
      </w:pPr>
    </w:lvl>
    <w:lvl w:ilvl="6" w:tplc="EBCA4280" w:tentative="1">
      <w:start w:val="1"/>
      <w:numFmt w:val="bullet"/>
      <w:lvlText w:val="●"/>
      <w:lvlJc w:val="left"/>
      <w:pPr>
        <w:ind w:left="5040" w:hanging="360"/>
      </w:pPr>
    </w:lvl>
    <w:lvl w:ilvl="7" w:tplc="A3CC57CE" w:tentative="1">
      <w:start w:val="1"/>
      <w:numFmt w:val="bullet"/>
      <w:lvlText w:val="●"/>
      <w:lvlJc w:val="left"/>
      <w:pPr>
        <w:ind w:left="5760" w:hanging="360"/>
      </w:pPr>
    </w:lvl>
    <w:lvl w:ilvl="8" w:tplc="FB102BA6" w:tentative="1">
      <w:start w:val="1"/>
      <w:numFmt w:val="bullet"/>
      <w:lvlText w:val="●"/>
      <w:lvlJc w:val="left"/>
      <w:pPr>
        <w:ind w:left="6480" w:hanging="360"/>
      </w:pPr>
    </w:lvl>
  </w:abstractNum>
  <w:num w:numId="1" w16cid:durableId="2090499495">
    <w:abstractNumId w:val="1"/>
    <w:lvlOverride w:ilvl="0">
      <w:startOverride w:val="1"/>
    </w:lvlOverride>
  </w:num>
  <w:num w:numId="2" w16cid:durableId="15735865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2537"/>
    <w:rsid w:val="00042537"/>
    <w:rsid w:val="00311941"/>
    <w:rsid w:val="00384B8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E13AC"/>
  <w15:docId w15:val="{3DFBFDCA-A058-46AC-B6F0-86CFE2C4C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color w:val="2E74B5"/>
      <w:sz w:val="32"/>
      <w:szCs w:val="32"/>
    </w:rPr>
  </w:style>
  <w:style w:type="paragraph" w:styleId="Ttulo2">
    <w:name w:val="heading 2"/>
    <w:basedOn w:val="Normal"/>
    <w:next w:val="Normal"/>
    <w:uiPriority w:val="9"/>
    <w:semiHidden/>
    <w:unhideWhenUsed/>
    <w:qFormat/>
    <w:pPr>
      <w:outlineLvl w:val="1"/>
    </w:pPr>
    <w:rPr>
      <w:color w:val="2E74B5"/>
      <w:sz w:val="26"/>
      <w:szCs w:val="26"/>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1148</Words>
  <Characters>6319</Characters>
  <Application>Microsoft Office Word</Application>
  <DocSecurity>0</DocSecurity>
  <Lines>52</Lines>
  <Paragraphs>14</Paragraphs>
  <ScaleCrop>false</ScaleCrop>
  <Company/>
  <LinksUpToDate>false</LinksUpToDate>
  <CharactersWithSpaces>7453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Isaac Miguel Barrón Portillo</cp:lastModifiedBy>
  <cp:revision>2</cp:revision>
  <dcterms:created xsi:type="dcterms:W3CDTF">2026-10-19T19:03:00Z</dcterms:created>
  <dcterms:modified xsi:type="dcterms:W3CDTF">2026-10-19T19:11:00Z</dcterms:modified>
</cp:coreProperties>
</file>