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Observaciones etapa “Habilitación Tecnológica”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Proyecto ApiGee Ec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Autor: Tic Nelson Cornejo / 0992117663 / </w:t>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ncornejr@claro.com.ec</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Revisión: 17/01/2023</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FFFF00" w:val="clear"/>
        </w:rPr>
        <w:t xml:space="preserve">Prerrequisitos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Existe un capitulo denominado “Prerrequisitos” en el Confluence que se encuentra vacío.</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requiere que Prodigio incluya los prerrequisitos para la habilitación tecnológica en la documentación de Confluence. Esto es parte de la Propuesta Técnica API-Deal 1189 entregada por Prodigio a Conecel.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250" w:dyaOrig="2217">
          <v:rect xmlns:o="urn:schemas-microsoft-com:office:office" xmlns:v="urn:schemas-microsoft-com:vml" id="rectole0000000000" style="width:312.500000pt;height:110.8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731" w:dyaOrig="1374">
          <v:rect xmlns:o="urn:schemas-microsoft-com:office:office" xmlns:v="urn:schemas-microsoft-com:vml" id="rectole0000000001" style="width:236.550000pt;height:68.7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esto ya se encuentra </w:t>
      </w:r>
    </w:p>
    <w:p>
      <w:pPr>
        <w:numPr>
          <w:ilvl w:val="0"/>
          <w:numId w:val="5"/>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FFFF00" w:val="clear"/>
        </w:rPr>
        <w:t xml:space="preserve">Diagrama de Arquitectura de despliegue en detalle - Habilitación tecnológica</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requiere que incluyan el diagrama de arquitectura de despliegue en detalle para la etapa de Habilitación tecnológica, esto es parte de la Propuesta Técnica API-Deal 1189 entregada por Prodigio a Conecel.  Este punto fue explicado en las sesiones con Marlyn García. Como parte de la habilitación tecnológica se realizaron sesiones de trabajo con áreas de infraestructura de Claro donde se explicó la conectividad existente. Se requiere que Prodigio elabore el diagrama o diagramas de arquitectura donde se detalle la implementación a realizarse considerando la información compartida por Conecel de manera que exista una visión integral del proyecto y su conectividad.  En caso de que Prodigio requiera más información o sesiones adicionales de revisión debe solicitarlo.</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542" w:dyaOrig="3233">
          <v:rect xmlns:o="urn:schemas-microsoft-com:office:office" xmlns:v="urn:schemas-microsoft-com:vml" id="rectole0000000002" style="width:227.100000pt;height:161.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Se añadió este diagrama como parte del TOBE</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Modificar la descripción de la página “Implementación infra” por “Implementación infraestructura Apigee Edge”.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22"/>
          <w:shd w:fill="FF0000" w:val="clear"/>
        </w:rPr>
      </w:pPr>
      <w:r>
        <w:rPr>
          <w:rFonts w:ascii="Calibri" w:hAnsi="Calibri" w:cs="Calibri" w:eastAsia="Calibri"/>
          <w:color w:val="auto"/>
          <w:spacing w:val="0"/>
          <w:position w:val="0"/>
          <w:sz w:val="22"/>
          <w:shd w:fill="FF0000" w:val="clear"/>
        </w:rPr>
        <w:t xml:space="preserve">Incluir la matriz de Hardware entregada por Prodigio en Propuesta Técnica API-Deal 1189 en la documentación de Confluence, Sección III </w:t>
      </w:r>
      <w:r>
        <w:rPr>
          <w:rFonts w:ascii="Calibri" w:hAnsi="Calibri" w:cs="Calibri" w:eastAsia="Calibri"/>
          <w:color w:val="auto"/>
          <w:spacing w:val="0"/>
          <w:position w:val="0"/>
          <w:sz w:val="22"/>
          <w:shd w:fill="FF0000" w:val="clear"/>
        </w:rPr>
        <w:t xml:space="preserve">–</w:t>
      </w:r>
      <w:r>
        <w:rPr>
          <w:rFonts w:ascii="Calibri" w:hAnsi="Calibri" w:cs="Calibri" w:eastAsia="Calibri"/>
          <w:color w:val="auto"/>
          <w:spacing w:val="0"/>
          <w:position w:val="0"/>
          <w:sz w:val="22"/>
          <w:shd w:fill="FF0000" w:val="clear"/>
        </w:rPr>
        <w:t xml:space="preserve"> Instalaci</w:t>
      </w:r>
      <w:r>
        <w:rPr>
          <w:rFonts w:ascii="Calibri" w:hAnsi="Calibri" w:cs="Calibri" w:eastAsia="Calibri"/>
          <w:color w:val="auto"/>
          <w:spacing w:val="0"/>
          <w:position w:val="0"/>
          <w:sz w:val="22"/>
          <w:shd w:fill="FF0000" w:val="clear"/>
        </w:rPr>
        <w:t xml:space="preserve">ón.  En caso de que se hayan aumentado equipos en la implementación presentar la debida justificación.</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67" w:dyaOrig="2628">
          <v:rect xmlns:o="urn:schemas-microsoft-com:office:office" xmlns:v="urn:schemas-microsoft-com:vml" id="rectole0000000003" style="width:283.350000pt;height:131.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351" w:dyaOrig="2938">
          <v:rect xmlns:o="urn:schemas-microsoft-com:office:office" xmlns:v="urn:schemas-microsoft-com:vml" id="rectole0000000004" style="width:267.550000pt;height:146.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No confundir entre la nueva propuesta y la antigua ya que ambas se sometieron a analisis diferentes, por lo tanto la nueva es mas asertada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0000" w:val="clear"/>
        </w:rPr>
        <w:t xml:space="preserve">En la Sección III se requiere que incluyan el detalle del procedimiento de instalación mediante “</w:t>
      </w:r>
      <w:r>
        <w:rPr>
          <w:rFonts w:ascii="Calibri" w:hAnsi="Calibri" w:cs="Calibri" w:eastAsia="Calibri"/>
          <w:b/>
          <w:color w:val="auto"/>
          <w:spacing w:val="0"/>
          <w:position w:val="0"/>
          <w:sz w:val="22"/>
          <w:shd w:fill="FF0000" w:val="clear"/>
        </w:rPr>
        <w:t xml:space="preserve">Despliegue Automatizado</w:t>
      </w:r>
      <w:r>
        <w:rPr>
          <w:rFonts w:ascii="Calibri" w:hAnsi="Calibri" w:cs="Calibri" w:eastAsia="Calibri"/>
          <w:color w:val="auto"/>
          <w:spacing w:val="0"/>
          <w:position w:val="0"/>
          <w:sz w:val="22"/>
          <w:shd w:fill="FF0000" w:val="clear"/>
        </w:rPr>
        <w:t xml:space="preserve">” como indica en la Propuesta Técnica API-Deal 1189.</w:t>
      </w:r>
    </w:p>
    <w:p>
      <w:pPr>
        <w:spacing w:before="0" w:after="160" w:line="259"/>
        <w:ind w:right="0" w:left="708" w:firstLine="0"/>
        <w:jc w:val="left"/>
        <w:rPr>
          <w:rFonts w:ascii="Calibri" w:hAnsi="Calibri" w:cs="Calibri" w:eastAsia="Calibri"/>
          <w:color w:val="auto"/>
          <w:spacing w:val="0"/>
          <w:position w:val="0"/>
          <w:sz w:val="22"/>
          <w:shd w:fill="auto" w:val="clear"/>
        </w:rPr>
      </w:pPr>
      <w:r>
        <w:object w:dxaOrig="3426" w:dyaOrig="1810">
          <v:rect xmlns:o="urn:schemas-microsoft-com:office:office" xmlns:v="urn:schemas-microsoft-com:vml" id="rectole0000000005" style="width:171.300000pt;height:90.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rPr>
          <w:rFonts w:ascii="Calibri" w:hAnsi="Calibri" w:cs="Calibri" w:eastAsia="Calibri"/>
          <w:color w:val="auto"/>
          <w:spacing w:val="0"/>
          <w:position w:val="0"/>
          <w:sz w:val="22"/>
          <w:shd w:fill="auto" w:val="clear"/>
        </w:rPr>
        <w:t xml:space="preserve"> </w:t>
      </w:r>
      <w:r>
        <w:object w:dxaOrig="3881" w:dyaOrig="2157">
          <v:rect xmlns:o="urn:schemas-microsoft-com:office:office" xmlns:v="urn:schemas-microsoft-com:vml" id="rectole0000000006" style="width:194.050000pt;height:107.8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No aplica para nuestra area de forma inmediata</w:t>
      </w:r>
    </w:p>
    <w:p>
      <w:pPr>
        <w:numPr>
          <w:ilvl w:val="0"/>
          <w:numId w:val="15"/>
        </w:numPr>
        <w:spacing w:before="0" w:after="160" w:line="259"/>
        <w:ind w:right="0" w:left="720" w:hanging="360"/>
        <w:jc w:val="left"/>
        <w:rPr>
          <w:rFonts w:ascii="Calibri" w:hAnsi="Calibri" w:cs="Calibri" w:eastAsia="Calibri"/>
          <w:color w:val="auto"/>
          <w:spacing w:val="0"/>
          <w:position w:val="0"/>
          <w:sz w:val="22"/>
          <w:shd w:fill="FF0000" w:val="clear"/>
        </w:rPr>
      </w:pPr>
      <w:r>
        <w:rPr>
          <w:rFonts w:ascii="Calibri" w:hAnsi="Calibri" w:cs="Calibri" w:eastAsia="Calibri"/>
          <w:color w:val="auto"/>
          <w:spacing w:val="0"/>
          <w:position w:val="0"/>
          <w:sz w:val="22"/>
          <w:shd w:fill="FF0000" w:val="clear"/>
        </w:rPr>
        <w:t xml:space="preserve">Incluir el capitulo de “Habilitación Tecnología/Pipeline implementación” con todas las características listadas en la Propuesta Técnica API-Deal 1189.</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5983" w:dyaOrig="3401">
          <v:rect xmlns:o="urn:schemas-microsoft-com:office:office" xmlns:v="urn:schemas-microsoft-com:vml" id="rectole0000000007" style="width:299.150000pt;height:170.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no aplica para nuestra area de forma inmediata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Modificar la sección “Sección IX </w:t>
      </w: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FFFF00" w:val="clear"/>
        </w:rPr>
        <w:t xml:space="preserve"> Alertas</w:t>
      </w: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FFFF00" w:val="clear"/>
        </w:rPr>
        <w:t xml:space="preserve"> por el item de “Habilitación </w:t>
      </w:r>
      <w:r>
        <w:rPr>
          <w:rFonts w:ascii="Calibri" w:hAnsi="Calibri" w:cs="Calibri" w:eastAsia="Calibri"/>
          <w:color w:val="auto"/>
          <w:spacing w:val="0"/>
          <w:position w:val="0"/>
          <w:sz w:val="22"/>
          <w:shd w:fill="auto" w:val="clear"/>
        </w:rPr>
        <w:t xml:space="preserve">Tecnología/Observabilidad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Monitoreo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Que provea la informaci</w:t>
      </w:r>
      <w:r>
        <w:rPr>
          <w:rFonts w:ascii="Calibri" w:hAnsi="Calibri" w:cs="Calibri" w:eastAsia="Calibri"/>
          <w:color w:val="auto"/>
          <w:spacing w:val="0"/>
          <w:position w:val="0"/>
          <w:sz w:val="22"/>
          <w:shd w:fill="auto" w:val="clear"/>
        </w:rPr>
        <w:t xml:space="preserve">ón de la colección de APIs de monitoreo y la integración con la plataforma de monitoreo (Panel de Calidad Claro) como indica en la Propuesta Técnica API-Deal 1189.</w:t>
      </w:r>
    </w:p>
    <w:tbl>
      <w:tblPr>
        <w:tblInd w:w="720" w:type="dxa"/>
      </w:tblPr>
      <w:tblGrid>
        <w:gridCol w:w="4091"/>
        <w:gridCol w:w="3909"/>
      </w:tblGrid>
      <w:tr>
        <w:trPr>
          <w:trHeight w:val="1" w:hRule="atLeast"/>
          <w:jc w:val="left"/>
        </w:trPr>
        <w:tc>
          <w:tcPr>
            <w:tcW w:w="4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Incluido en la Propuesta de Prodigio API-Deal 1189 proyecto Apigee</w:t>
            </w:r>
          </w:p>
        </w:tc>
        <w:tc>
          <w:tcPr>
            <w:tcW w:w="39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información que Prodigio incluye en el confluence no concuerda con la Propuesta Técnica.</w:t>
            </w:r>
          </w:p>
        </w:tc>
      </w:tr>
      <w:tr>
        <w:trPr>
          <w:trHeight w:val="1" w:hRule="atLeast"/>
          <w:jc w:val="left"/>
        </w:trPr>
        <w:tc>
          <w:tcPr>
            <w:tcW w:w="4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308" w:dyaOrig="2407">
                <v:rect xmlns:o="urn:schemas-microsoft-com:office:office" xmlns:v="urn:schemas-microsoft-com:vml" id="rectole0000000008" style="width:215.400000pt;height:120.3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tc>
        <w:tc>
          <w:tcPr>
            <w:tcW w:w="39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106" w:dyaOrig="2780">
                <v:rect xmlns:o="urn:schemas-microsoft-com:office:office" xmlns:v="urn:schemas-microsoft-com:vml" id="rectole0000000009" style="width:205.300000pt;height:139.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tc>
      </w:tr>
    </w:tbl>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416"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003" w:dyaOrig="2228">
          <v:rect xmlns:o="urn:schemas-microsoft-com:office:office" xmlns:v="urn:schemas-microsoft-com:vml" id="rectole0000000010" style="width:200.150000pt;height:111.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r>
        <w:rPr>
          <w:rFonts w:ascii="Calibri" w:hAnsi="Calibri" w:cs="Calibri" w:eastAsia="Calibri"/>
          <w:color w:val="auto"/>
          <w:spacing w:val="0"/>
          <w:position w:val="0"/>
          <w:sz w:val="22"/>
          <w:shd w:fill="auto" w:val="clear"/>
        </w:rPr>
        <w:t xml:space="preserve"> </w:t>
      </w:r>
      <w:r>
        <w:object w:dxaOrig="4084" w:dyaOrig="2265">
          <v:rect xmlns:o="urn:schemas-microsoft-com:office:office" xmlns:v="urn:schemas-microsoft-com:vml" id="rectole0000000011" style="width:204.200000pt;height:113.2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se añadio un comentario en esa sección explicando que teniamos que coordinar con el equipo de Claro EC para la implementación de su "Panel de control"</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FFFF00" w:val="clear"/>
        </w:rPr>
        <w:t xml:space="preserve">ncluir el item de Habilitación Tecnología/Trazabilidad definido en la Propuesta de Prodigio API-Deal 1189 proyecto Apigee.</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325" w:dyaOrig="2880">
          <v:rect xmlns:o="urn:schemas-microsoft-com:office:office" xmlns:v="urn:schemas-microsoft-com:vml" id="rectole0000000012" style="width:266.250000pt;height:14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La trazabilidad ya se muestra en las secciones dedicadas a pruebas en el clounfluence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0000" w:val="clear"/>
        </w:rPr>
        <w:t xml:space="preserve">Incluir el item Habilitación Tecnología/Performance Stress Testing definido en la Propuesta de Prodigio API-Deal 1189 proyecto Apigee.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4516" w:dyaOrig="2422">
          <v:rect xmlns:o="urn:schemas-microsoft-com:office:office" xmlns:v="urn:schemas-microsoft-com:vml" id="rectole0000000013" style="width:225.800000pt;height:121.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a medida que se vayan haciendo las pruebas se irá rellenando esa fase, por los momentos no hemos llegado 100% a ese punto.</w:t>
      </w:r>
    </w:p>
    <w:p>
      <w:pPr>
        <w:numPr>
          <w:ilvl w:val="0"/>
          <w:numId w:val="3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FF0000" w:val="clear"/>
        </w:rPr>
        <w:t xml:space="preserve">ncluir el Item Habilitación Tecnología/Scaling definido en la Propuesta de Prodigio </w:t>
      </w:r>
      <w:r>
        <w:rPr>
          <w:rFonts w:ascii="Calibri" w:hAnsi="Calibri" w:cs="Calibri" w:eastAsia="Calibri"/>
          <w:color w:val="auto"/>
          <w:spacing w:val="0"/>
          <w:position w:val="0"/>
          <w:sz w:val="22"/>
          <w:shd w:fill="auto" w:val="clear"/>
        </w:rPr>
        <w:t xml:space="preserve">API-Deal 1189 proyecto Apigee.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5076" w:dyaOrig="2287">
          <v:rect xmlns:o="urn:schemas-microsoft-com:office:office" xmlns:v="urn:schemas-microsoft-com:vml" id="rectole0000000014" style="width:253.800000pt;height:114.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El scalling no aplica para esta versión de Apigee Edge</w:t>
      </w:r>
    </w:p>
    <w:p>
      <w:pPr>
        <w:numPr>
          <w:ilvl w:val="0"/>
          <w:numId w:val="3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0000" w:val="clear"/>
        </w:rPr>
        <w:t xml:space="preserve">Modificar la sección “Sección VIII </w:t>
      </w:r>
      <w:r>
        <w:rPr>
          <w:rFonts w:ascii="Calibri" w:hAnsi="Calibri" w:cs="Calibri" w:eastAsia="Calibri"/>
          <w:color w:val="auto"/>
          <w:spacing w:val="0"/>
          <w:position w:val="0"/>
          <w:sz w:val="22"/>
          <w:shd w:fill="FF0000" w:val="clear"/>
        </w:rPr>
        <w:t xml:space="preserve">–</w:t>
      </w:r>
      <w:r>
        <w:rPr>
          <w:rFonts w:ascii="Calibri" w:hAnsi="Calibri" w:cs="Calibri" w:eastAsia="Calibri"/>
          <w:color w:val="auto"/>
          <w:spacing w:val="0"/>
          <w:position w:val="0"/>
          <w:sz w:val="22"/>
          <w:shd w:fill="FF0000" w:val="clear"/>
        </w:rPr>
        <w:t xml:space="preserve"> Backup” por el item Habilitación </w:t>
      </w:r>
      <w:r>
        <w:rPr>
          <w:rFonts w:ascii="Calibri" w:hAnsi="Calibri" w:cs="Calibri" w:eastAsia="Calibri"/>
          <w:color w:val="auto"/>
          <w:spacing w:val="0"/>
          <w:position w:val="0"/>
          <w:sz w:val="22"/>
          <w:shd w:fill="auto" w:val="clear"/>
        </w:rPr>
        <w:t xml:space="preserve">Tecnología/Disaster Recovery and Reliability definido en la Propuesta de Prodigio API-Deal 1189 proyecto Apigee y que incluya las funcionalidades necesarias para lograr el objetivo indicado “El resultado es la certificación del proceso de respaldo y recuperación de la plataforma APIGEE productiva.”</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334" w:dyaOrig="3030">
          <v:rect xmlns:o="urn:schemas-microsoft-com:office:office" xmlns:v="urn:schemas-microsoft-com:vml" id="rectole0000000015" style="width:266.700000pt;height:151.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291" w:dyaOrig="2546">
          <v:rect xmlns:o="urn:schemas-microsoft-com:office:office" xmlns:v="urn:schemas-microsoft-com:vml" id="rectole0000000016" style="width:264.550000pt;height:127.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NOTA: La sección de backup ya incluye de forma explicita esta información</w:t>
      </w:r>
    </w:p>
    <w:p>
      <w:pPr>
        <w:numPr>
          <w:ilvl w:val="0"/>
          <w:numId w:val="3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Incluir el item “Implementación Dev Portal” definido en la Propuesta de Prodigio API-Deal 1189.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4663" w:dyaOrig="2487">
          <v:rect xmlns:o="urn:schemas-microsoft-com:office:office" xmlns:v="urn:schemas-microsoft-com:vml" id="rectole0000000017" style="width:233.150000pt;height:124.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numPr>
          <w:ilvl w:val="0"/>
          <w:numId w:val="3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Incluir el item “Implementación Monetización” definido en la Propuesta de Prodigio API-Deal 1189.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119" w:dyaOrig="2868">
          <v:rect xmlns:o="urn:schemas-microsoft-com:office:office" xmlns:v="urn:schemas-microsoft-com:vml" id="rectole0000000018" style="width:255.950000pt;height:143.4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2">
    <w:abstractNumId w:val="72"/>
  </w:num>
  <w:num w:numId="5">
    <w:abstractNumId w:val="66"/>
  </w:num>
  <w:num w:numId="8">
    <w:abstractNumId w:val="60"/>
  </w:num>
  <w:num w:numId="10">
    <w:abstractNumId w:val="54"/>
  </w:num>
  <w:num w:numId="12">
    <w:abstractNumId w:val="48"/>
  </w:num>
  <w:num w:numId="15">
    <w:abstractNumId w:val="42"/>
  </w:num>
  <w:num w:numId="17">
    <w:abstractNumId w:val="36"/>
  </w:num>
  <w:num w:numId="27">
    <w:abstractNumId w:val="30"/>
  </w:num>
  <w:num w:numId="29">
    <w:abstractNumId w:val="24"/>
  </w:num>
  <w:num w:numId="31">
    <w:abstractNumId w:val="18"/>
  </w:num>
  <w:num w:numId="33">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mailto:ncornejr@claro.com.ec"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styles.xml" Id="docRId40" Type="http://schemas.openxmlformats.org/officeDocument/2006/relationships/styles"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numbering.xml" Id="docRId39"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s>
</file>