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21CF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tTitle:</w:t>
      </w:r>
      <w:r w:rsidRPr="008600A6">
        <w:rPr>
          <w:rFonts w:eastAsia="Times New Roman"/>
          <w:color w:val="000000"/>
          <w:lang w:val="en-CN"/>
        </w:rPr>
        <w:t xml:space="preserve"> Sexual Harassment: What Employees Need to Know</w:t>
      </w:r>
    </w:p>
    <w:p w14:paraId="267F1B96"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7551FEC3"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Audience: </w:t>
      </w:r>
      <w:r w:rsidRPr="008600A6">
        <w:rPr>
          <w:rFonts w:eastAsia="Times New Roman"/>
          <w:color w:val="000000"/>
          <w:lang w:val="en-CN"/>
        </w:rPr>
        <w:t>Licensed clinical providers at treatment centers (completion for compliance)</w:t>
      </w:r>
    </w:p>
    <w:p w14:paraId="65A784A9"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Format:</w:t>
      </w:r>
      <w:r w:rsidRPr="008600A6">
        <w:rPr>
          <w:rFonts w:eastAsia="Times New Roman"/>
          <w:color w:val="000000"/>
          <w:lang w:val="en-CN"/>
        </w:rPr>
        <w:t xml:space="preserve"> Self-paced microlearning with 4 interactive activities and a short post-test</w:t>
      </w:r>
    </w:p>
    <w:p w14:paraId="6699311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Total length: </w:t>
      </w:r>
      <w:r w:rsidRPr="008600A6">
        <w:rPr>
          <w:rFonts w:eastAsia="Times New Roman"/>
          <w:color w:val="000000"/>
          <w:lang w:val="en-CN"/>
        </w:rPr>
        <w:t>30 minutes</w:t>
      </w:r>
    </w:p>
    <w:p w14:paraId="1DFE310E"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3BACA1C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Written Content:</w:t>
      </w:r>
    </w:p>
    <w:p w14:paraId="68C82CC2"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Sexual harassment in clinical practice includes unwelcome sexual advances, requests for sexual favors, or other verbal or physical conduct of a sexual nature that creates a hostile work environment or affects employment or care. It can occur staff-to-staff, supervisor-to-staff (quid pro quo), patient-to-staff, or patient-to-patient; all are actionable when they interfere with safety, job performance, or the therapeutic environment. Recognize both quid pro quo (employment decisions conditioned on sexual favors) and hostile</w:t>
      </w:r>
      <w:r w:rsidRPr="008600A6">
        <w:rPr>
          <w:rFonts w:eastAsia="Times New Roman"/>
          <w:color w:val="000000"/>
          <w:lang w:val="en-CN"/>
        </w:rPr>
        <w:noBreakHyphen/>
        <w:t>work</w:t>
      </w:r>
      <w:r w:rsidRPr="008600A6">
        <w:rPr>
          <w:rFonts w:eastAsia="Times New Roman"/>
          <w:color w:val="000000"/>
          <w:lang w:val="en-CN"/>
        </w:rPr>
        <w:noBreakHyphen/>
        <w:t xml:space="preserve">environment harassment (pervasive or severe conduct that creates intimidating, hostile, or offensive conditions). (EEOC guidance) — </w:t>
      </w:r>
      <w:hyperlink r:id="rId4" w:history="1">
        <w:r w:rsidRPr="008600A6">
          <w:rPr>
            <w:rFonts w:eastAsia="Times New Roman"/>
            <w:color w:val="1155CC"/>
            <w:u w:val="single"/>
            <w:lang w:val="en-CN"/>
          </w:rPr>
          <w:t>https://www.eeoc.gov/sexual-harassment</w:t>
        </w:r>
      </w:hyperlink>
      <w:r w:rsidRPr="008600A6">
        <w:rPr>
          <w:rFonts w:eastAsia="Times New Roman"/>
          <w:color w:val="000000"/>
          <w:lang w:val="en-CN"/>
        </w:rPr>
        <w:t> </w:t>
      </w:r>
    </w:p>
    <w:p w14:paraId="6269EEE8"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14FF31B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Best practices for clinicians: set and communicate clear professional boundaries with patients and colleagues; document any incidents factually (who, what, when, where, witnesses); preserve evidence (messages, notes); and prioritize safety for all involved. Follow your organization’s reporting procedures promptly. Reports should be made to HR, compliance, or the designated contact. Ensure patients who are involved receive appropriate clinical support and safety planning. Distinguish mandatory reporting obligations (e.g., abuse of vulnerable persons) from workplace/HR reporting and consult institutional policy when both apply. (EEOC; OSHA; SAMHSA workplace safety resources) — https://www.eeoc.gov; https://www.osha.gov; </w:t>
      </w:r>
      <w:hyperlink r:id="rId5" w:history="1">
        <w:r w:rsidRPr="008600A6">
          <w:rPr>
            <w:rFonts w:eastAsia="Times New Roman"/>
            <w:color w:val="1155CC"/>
            <w:u w:val="single"/>
            <w:lang w:val="en-CN"/>
          </w:rPr>
          <w:t>https://www.samhsa.gov</w:t>
        </w:r>
      </w:hyperlink>
      <w:r w:rsidRPr="008600A6">
        <w:rPr>
          <w:rFonts w:eastAsia="Times New Roman"/>
          <w:color w:val="000000"/>
          <w:lang w:val="en-CN"/>
        </w:rPr>
        <w:t> </w:t>
      </w:r>
    </w:p>
    <w:p w14:paraId="1D2327DA"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68BC9F06"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Employers must investigate complaints objectively, protect reporters from retaliation, and take corrective action when warranted; clinicians should feel empowered to report without fear of adverse treatment. If unsure, seek guidance from HR, legal, or employee</w:t>
      </w:r>
      <w:r w:rsidRPr="008600A6">
        <w:rPr>
          <w:rFonts w:eastAsia="Times New Roman"/>
          <w:color w:val="000000"/>
          <w:lang w:val="en-CN"/>
        </w:rPr>
        <w:noBreakHyphen/>
        <w:t>assistance/EAP resources; escalate immediately if there is an imminent safety risk. Regular training, clear policies, confidential reporting options, and post</w:t>
      </w:r>
      <w:r w:rsidRPr="008600A6">
        <w:rPr>
          <w:rFonts w:eastAsia="Times New Roman"/>
          <w:color w:val="000000"/>
          <w:lang w:val="en-CN"/>
        </w:rPr>
        <w:noBreakHyphen/>
        <w:t xml:space="preserve">incident support improve safety and trust in clinical settings. (EEOC enforcement guidance; OSHA workplace violence resources) — </w:t>
      </w:r>
      <w:hyperlink r:id="rId6" w:history="1">
        <w:r w:rsidRPr="008600A6">
          <w:rPr>
            <w:rFonts w:eastAsia="Times New Roman"/>
            <w:color w:val="1155CC"/>
            <w:u w:val="single"/>
            <w:lang w:val="en-CN"/>
          </w:rPr>
          <w:t>https://www.eeoc.gov/laws/guidance/enforcement-guidance-harassment-workplace</w:t>
        </w:r>
      </w:hyperlink>
      <w:r w:rsidRPr="008600A6">
        <w:rPr>
          <w:rFonts w:eastAsia="Times New Roman"/>
          <w:color w:val="000000"/>
          <w:lang w:val="en-CN"/>
        </w:rPr>
        <w:t xml:space="preserve">;  </w:t>
      </w:r>
      <w:hyperlink r:id="rId7" w:history="1">
        <w:r w:rsidRPr="008600A6">
          <w:rPr>
            <w:rFonts w:eastAsia="Times New Roman"/>
            <w:color w:val="1155CC"/>
            <w:u w:val="single"/>
            <w:lang w:val="en-CN"/>
          </w:rPr>
          <w:t>https://www.osha.gov/workplace-violence</w:t>
        </w:r>
      </w:hyperlink>
      <w:r w:rsidRPr="008600A6">
        <w:rPr>
          <w:rFonts w:eastAsia="Times New Roman"/>
          <w:color w:val="000000"/>
          <w:lang w:val="en-CN"/>
        </w:rPr>
        <w:t> </w:t>
      </w:r>
    </w:p>
    <w:p w14:paraId="272D984D"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0564BC05"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048DBE9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Suggested resources / citations (include on resource page)</w:t>
      </w:r>
    </w:p>
    <w:p w14:paraId="4CD69315"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U.S. Equal Employment Opportunity Commission (EEOC) — Sexual Harassment Guidance and Fact Sheets: </w:t>
      </w:r>
      <w:hyperlink r:id="rId8" w:history="1">
        <w:r w:rsidRPr="008600A6">
          <w:rPr>
            <w:rFonts w:eastAsia="Times New Roman"/>
            <w:color w:val="1155CC"/>
            <w:u w:val="single"/>
            <w:lang w:val="en-CN"/>
          </w:rPr>
          <w:t>https://www.eeoc.gov/sexual-harassment</w:t>
        </w:r>
      </w:hyperlink>
      <w:r w:rsidRPr="008600A6">
        <w:rPr>
          <w:rFonts w:eastAsia="Times New Roman"/>
          <w:color w:val="000000"/>
          <w:lang w:val="en-CN"/>
        </w:rPr>
        <w:t> </w:t>
      </w:r>
    </w:p>
    <w:p w14:paraId="5ED564B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EEOC Enforcement Guidance on Harassment in the Workplace: </w:t>
      </w:r>
      <w:hyperlink r:id="rId9" w:history="1">
        <w:r w:rsidRPr="008600A6">
          <w:rPr>
            <w:rFonts w:eastAsia="Times New Roman"/>
            <w:color w:val="1155CC"/>
            <w:u w:val="single"/>
            <w:lang w:val="en-CN"/>
          </w:rPr>
          <w:t>https://www.eeoc.gov/laws/guidance/enforcement-guidance-harassment-workplace</w:t>
        </w:r>
      </w:hyperlink>
      <w:r w:rsidRPr="008600A6">
        <w:rPr>
          <w:rFonts w:eastAsia="Times New Roman"/>
          <w:color w:val="000000"/>
          <w:lang w:val="en-CN"/>
        </w:rPr>
        <w:t> </w:t>
      </w:r>
    </w:p>
    <w:p w14:paraId="3B86BE3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Occupational Safety and Health Administration (OSHA) — Workplace Violence: </w:t>
      </w:r>
      <w:hyperlink r:id="rId10" w:history="1">
        <w:r w:rsidRPr="008600A6">
          <w:rPr>
            <w:rFonts w:eastAsia="Times New Roman"/>
            <w:color w:val="1155CC"/>
            <w:u w:val="single"/>
            <w:lang w:val="en-CN"/>
          </w:rPr>
          <w:t>https://www.osha.gov/workplace-violence</w:t>
        </w:r>
      </w:hyperlink>
      <w:r w:rsidRPr="008600A6">
        <w:rPr>
          <w:rFonts w:eastAsia="Times New Roman"/>
          <w:color w:val="000000"/>
          <w:lang w:val="en-CN"/>
        </w:rPr>
        <w:t> </w:t>
      </w:r>
    </w:p>
    <w:p w14:paraId="3B3D159C"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National Institute for Occupational Safety and Health (NIOSH) — Workplace Violence Prevention for Healthcare Workers: </w:t>
      </w:r>
      <w:hyperlink r:id="rId11" w:history="1">
        <w:r w:rsidRPr="008600A6">
          <w:rPr>
            <w:rFonts w:eastAsia="Times New Roman"/>
            <w:color w:val="1155CC"/>
            <w:u w:val="single"/>
            <w:lang w:val="en-CN"/>
          </w:rPr>
          <w:t>https://www.cdc.gov/niosh/topics/violence/</w:t>
        </w:r>
      </w:hyperlink>
      <w:r w:rsidRPr="008600A6">
        <w:rPr>
          <w:rFonts w:eastAsia="Times New Roman"/>
          <w:color w:val="000000"/>
          <w:lang w:val="en-CN"/>
        </w:rPr>
        <w:t> </w:t>
      </w:r>
    </w:p>
    <w:p w14:paraId="3172C74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SAMHSA — Guidance on workplace safety and behavioral health settings (for patient-related incidents): </w:t>
      </w:r>
      <w:hyperlink r:id="rId12" w:history="1">
        <w:r w:rsidRPr="008600A6">
          <w:rPr>
            <w:rFonts w:eastAsia="Times New Roman"/>
            <w:color w:val="1155CC"/>
            <w:u w:val="single"/>
            <w:lang w:val="en-CN"/>
          </w:rPr>
          <w:t>https://www.samhsa.gov/</w:t>
        </w:r>
      </w:hyperlink>
      <w:r w:rsidRPr="008600A6">
        <w:rPr>
          <w:rFonts w:eastAsia="Times New Roman"/>
          <w:color w:val="000000"/>
          <w:lang w:val="en-CN"/>
        </w:rPr>
        <w:t> </w:t>
      </w:r>
    </w:p>
    <w:p w14:paraId="1B53E52F" w14:textId="77777777" w:rsidR="008600A6" w:rsidRPr="008600A6" w:rsidRDefault="008600A6" w:rsidP="008600A6">
      <w:pPr>
        <w:spacing w:after="240" w:line="240" w:lineRule="auto"/>
        <w:rPr>
          <w:rFonts w:ascii="Times New Roman" w:eastAsia="Times New Roman" w:hAnsi="Times New Roman" w:cs="Times New Roman"/>
          <w:sz w:val="24"/>
          <w:szCs w:val="24"/>
          <w:lang w:val="en-CN"/>
        </w:rPr>
      </w:pPr>
      <w:r w:rsidRPr="008600A6">
        <w:rPr>
          <w:rFonts w:ascii="Times New Roman" w:eastAsia="Times New Roman" w:hAnsi="Times New Roman" w:cs="Times New Roman"/>
          <w:sz w:val="24"/>
          <w:szCs w:val="24"/>
          <w:lang w:val="en-CN"/>
        </w:rPr>
        <w:br/>
      </w:r>
    </w:p>
    <w:p w14:paraId="7C8BEF3F"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515A312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Title:</w:t>
      </w:r>
      <w:r w:rsidRPr="008600A6">
        <w:rPr>
          <w:rFonts w:eastAsia="Times New Roman"/>
          <w:color w:val="000000"/>
          <w:lang w:val="en-CN"/>
        </w:rPr>
        <w:t xml:space="preserve"> HIPAA Basics for Clinical Practice</w:t>
      </w:r>
    </w:p>
    <w:p w14:paraId="0C1CAA05"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42B3372A"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Audience: </w:t>
      </w:r>
      <w:r w:rsidRPr="008600A6">
        <w:rPr>
          <w:rFonts w:eastAsia="Times New Roman"/>
          <w:color w:val="000000"/>
          <w:lang w:val="en-CN"/>
        </w:rPr>
        <w:t>Licensed clinical providers at treatment centers (completion for compliance)</w:t>
      </w:r>
    </w:p>
    <w:p w14:paraId="70582CA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Format:</w:t>
      </w:r>
      <w:r w:rsidRPr="008600A6">
        <w:rPr>
          <w:rFonts w:eastAsia="Times New Roman"/>
          <w:color w:val="000000"/>
          <w:lang w:val="en-CN"/>
        </w:rPr>
        <w:t xml:space="preserve"> Self-paced microlearning with 4 interactive activities and a short post-test</w:t>
      </w:r>
    </w:p>
    <w:p w14:paraId="01B71B0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Total length: </w:t>
      </w:r>
      <w:r w:rsidRPr="008600A6">
        <w:rPr>
          <w:rFonts w:eastAsia="Times New Roman"/>
          <w:color w:val="000000"/>
          <w:lang w:val="en-CN"/>
        </w:rPr>
        <w:t>30 minutes</w:t>
      </w:r>
    </w:p>
    <w:p w14:paraId="6894B348"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2BAEC5E6"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Written Content:</w:t>
      </w:r>
    </w:p>
    <w:p w14:paraId="6AEAD2E2"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HIPAA protects patients’ protected health information (PHI), any individually identifiable health data in verbal, paper, or electronic form, and applies to covered entities and their business associates. In clinical practice, routine treatment, payment, and healthcare operations (TPO) disclosures are permitted without patient authorization, but clinicians must follow the “minimum necessary” standard when sharing PHI beyond direct treatment. Certain items (notably psychotherapy notes and most disclosures for marketing or sale of PHI) generally require a separate written authorization. (See HHS: HIPAA Privacy Rule; 45 CFR Parts 160 &amp; 164) — </w:t>
      </w:r>
      <w:hyperlink r:id="rId13" w:history="1">
        <w:r w:rsidRPr="008600A6">
          <w:rPr>
            <w:rFonts w:eastAsia="Times New Roman"/>
            <w:color w:val="1155CC"/>
            <w:u w:val="single"/>
            <w:lang w:val="en-CN"/>
          </w:rPr>
          <w:t>https://www.hhs.gov/hipaa/for-professionals/index.html</w:t>
        </w:r>
      </w:hyperlink>
      <w:r w:rsidRPr="008600A6">
        <w:rPr>
          <w:rFonts w:eastAsia="Times New Roman"/>
          <w:color w:val="000000"/>
          <w:lang w:val="en-CN"/>
        </w:rPr>
        <w:t xml:space="preserve">;  </w:t>
      </w:r>
      <w:hyperlink r:id="rId14" w:history="1">
        <w:r w:rsidRPr="008600A6">
          <w:rPr>
            <w:rFonts w:eastAsia="Times New Roman"/>
            <w:color w:val="1155CC"/>
            <w:u w:val="single"/>
            <w:lang w:val="en-CN"/>
          </w:rPr>
          <w:t>https://www.ecfr.gov/current/title-45/subtitle-A</w:t>
        </w:r>
      </w:hyperlink>
      <w:r w:rsidRPr="008600A6">
        <w:rPr>
          <w:rFonts w:eastAsia="Times New Roman"/>
          <w:color w:val="000000"/>
          <w:lang w:val="en-CN"/>
        </w:rPr>
        <w:t> </w:t>
      </w:r>
    </w:p>
    <w:p w14:paraId="4DA90922"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68D03FE1"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Protect patient privacy through basic administrative, physical, and technical safeguards: verify identities before disclosing information, lock and secure paper records, use organization</w:t>
      </w:r>
      <w:r w:rsidRPr="008600A6">
        <w:rPr>
          <w:rFonts w:eastAsia="Times New Roman"/>
          <w:color w:val="000000"/>
          <w:lang w:val="en-CN"/>
        </w:rPr>
        <w:noBreakHyphen/>
        <w:t xml:space="preserve">approved encrypted platforms for messaging and telehealth, maintain strong passwords and device encryption, and apply role-based access and minimum-necessary access to EHRs. For behavioral health, remember the heightened protections for psychotherapy notes and consider 42 CFR Part 2 when substance-use treatment records may apply. Document patient requests, disclosures, and clinical decisions about sharing information. (See HHS OCR Security Rule; 42 CFR Part 2) — </w:t>
      </w:r>
      <w:hyperlink r:id="rId15" w:history="1">
        <w:r w:rsidRPr="008600A6">
          <w:rPr>
            <w:rFonts w:eastAsia="Times New Roman"/>
            <w:color w:val="1155CC"/>
            <w:u w:val="single"/>
            <w:lang w:val="en-CN"/>
          </w:rPr>
          <w:t>https://www.hhs.gov/hipaa/for-professionals/security/index.html</w:t>
        </w:r>
      </w:hyperlink>
      <w:r w:rsidRPr="008600A6">
        <w:rPr>
          <w:rFonts w:eastAsia="Times New Roman"/>
          <w:color w:val="000000"/>
          <w:lang w:val="en-CN"/>
        </w:rPr>
        <w:t xml:space="preserve">;  </w:t>
      </w:r>
      <w:hyperlink r:id="rId16" w:history="1">
        <w:r w:rsidRPr="008600A6">
          <w:rPr>
            <w:rFonts w:eastAsia="Times New Roman"/>
            <w:color w:val="1155CC"/>
            <w:u w:val="single"/>
            <w:lang w:val="en-CN"/>
          </w:rPr>
          <w:t>https://www.ecfr.gov/current/title-42/chapter-I/subchapter-A/part-2</w:t>
        </w:r>
      </w:hyperlink>
      <w:r w:rsidRPr="008600A6">
        <w:rPr>
          <w:rFonts w:eastAsia="Times New Roman"/>
          <w:color w:val="000000"/>
          <w:lang w:val="en-CN"/>
        </w:rPr>
        <w:t> </w:t>
      </w:r>
    </w:p>
    <w:p w14:paraId="182F9579"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74860AA9"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If you suspect a privacy breach or unauthorized disclosure, contain the incident, notify your supervisor/privacy officer and IT immediately, and follow your organization’s reporting process; breaches may require notification to affected individuals and HHS OCR. When in doubt, subpoenas, law-enforcement requests, or overlapping laws, consult your privacy officer or legal counsel before releasing PHI. Maintain familiarity with organizational policies, emergency exceptions (limited disclosures for safety/public health), and telehealth HIPAA guidance to ensure compliant, patient-centered care. (See HHS OCR breach guidance and telehealth FAQs) — </w:t>
      </w:r>
      <w:hyperlink r:id="rId17" w:history="1">
        <w:r w:rsidRPr="008600A6">
          <w:rPr>
            <w:rFonts w:eastAsia="Times New Roman"/>
            <w:color w:val="1155CC"/>
            <w:u w:val="single"/>
            <w:lang w:val="en-CN"/>
          </w:rPr>
          <w:t>https://www.hhs.gov/hipaa/for-professionals/breach-notification/index.html</w:t>
        </w:r>
      </w:hyperlink>
      <w:r w:rsidRPr="008600A6">
        <w:rPr>
          <w:rFonts w:eastAsia="Times New Roman"/>
          <w:color w:val="000000"/>
          <w:lang w:val="en-CN"/>
        </w:rPr>
        <w:t xml:space="preserve">;  </w:t>
      </w:r>
      <w:hyperlink r:id="rId18" w:history="1">
        <w:r w:rsidRPr="008600A6">
          <w:rPr>
            <w:rFonts w:eastAsia="Times New Roman"/>
            <w:color w:val="1155CC"/>
            <w:u w:val="single"/>
            <w:lang w:val="en-CN"/>
          </w:rPr>
          <w:t>https://www.hhs.gov/hipaa/for-professionals/special-topics/hipaa-and-telehealth/index.html</w:t>
        </w:r>
      </w:hyperlink>
      <w:r w:rsidRPr="008600A6">
        <w:rPr>
          <w:rFonts w:eastAsia="Times New Roman"/>
          <w:color w:val="000000"/>
          <w:lang w:val="en-CN"/>
        </w:rPr>
        <w:t> </w:t>
      </w:r>
    </w:p>
    <w:p w14:paraId="5553EF14"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163B53C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Citations / Resources</w:t>
      </w:r>
    </w:p>
    <w:p w14:paraId="7D09EBC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HHS — HIPAA for Professionals (Privacy, Security, Breach Notification): </w:t>
      </w:r>
      <w:hyperlink r:id="rId19" w:history="1">
        <w:r w:rsidRPr="008600A6">
          <w:rPr>
            <w:rFonts w:eastAsia="Times New Roman"/>
            <w:color w:val="1155CC"/>
            <w:u w:val="single"/>
            <w:lang w:val="en-CN"/>
          </w:rPr>
          <w:t>https://www.hhs.gov/hipaa/for-professionals/index.html</w:t>
        </w:r>
      </w:hyperlink>
      <w:r w:rsidRPr="008600A6">
        <w:rPr>
          <w:rFonts w:eastAsia="Times New Roman"/>
          <w:color w:val="000000"/>
          <w:lang w:val="en-CN"/>
        </w:rPr>
        <w:t> </w:t>
      </w:r>
    </w:p>
    <w:p w14:paraId="00A7467B"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HHS OCR — Summary of the HIPAA Privacy Rule: </w:t>
      </w:r>
      <w:hyperlink r:id="rId20" w:history="1">
        <w:r w:rsidRPr="008600A6">
          <w:rPr>
            <w:rFonts w:eastAsia="Times New Roman"/>
            <w:color w:val="1155CC"/>
            <w:u w:val="single"/>
            <w:lang w:val="en-CN"/>
          </w:rPr>
          <w:t>https://www.hhs.gov/hipaa/for-professionals/privacy/index.html</w:t>
        </w:r>
      </w:hyperlink>
      <w:r w:rsidRPr="008600A6">
        <w:rPr>
          <w:rFonts w:eastAsia="Times New Roman"/>
          <w:color w:val="000000"/>
          <w:lang w:val="en-CN"/>
        </w:rPr>
        <w:t> </w:t>
      </w:r>
    </w:p>
    <w:p w14:paraId="2C4782AC"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HHS OCR — Security Rule: </w:t>
      </w:r>
      <w:hyperlink r:id="rId21" w:history="1">
        <w:r w:rsidRPr="008600A6">
          <w:rPr>
            <w:rFonts w:eastAsia="Times New Roman"/>
            <w:color w:val="1155CC"/>
            <w:u w:val="single"/>
            <w:lang w:val="en-CN"/>
          </w:rPr>
          <w:t>https://www.hhs.gov/hipaa/for-professionals/security/index.html</w:t>
        </w:r>
      </w:hyperlink>
      <w:r w:rsidRPr="008600A6">
        <w:rPr>
          <w:rFonts w:eastAsia="Times New Roman"/>
          <w:color w:val="000000"/>
          <w:lang w:val="en-CN"/>
        </w:rPr>
        <w:t> </w:t>
      </w:r>
    </w:p>
    <w:p w14:paraId="4E6CDDD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- 45 CFR Parts 160 &amp; 164 (HIPAA rules): </w:t>
      </w:r>
      <w:hyperlink r:id="rId22" w:history="1">
        <w:r w:rsidRPr="008600A6">
          <w:rPr>
            <w:rFonts w:eastAsia="Times New Roman"/>
            <w:color w:val="1155CC"/>
            <w:u w:val="single"/>
            <w:lang w:val="en-CN"/>
          </w:rPr>
          <w:t>https://www.ecfr.gov/current/title-45/subtitle-A</w:t>
        </w:r>
      </w:hyperlink>
      <w:r w:rsidRPr="008600A6">
        <w:rPr>
          <w:rFonts w:eastAsia="Times New Roman"/>
          <w:color w:val="000000"/>
          <w:lang w:val="en-CN"/>
        </w:rPr>
        <w:t> </w:t>
      </w:r>
    </w:p>
    <w:p w14:paraId="4187993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- 42 CFR Part 2 (SUD confidentiality): </w:t>
      </w:r>
      <w:hyperlink r:id="rId23" w:history="1">
        <w:r w:rsidRPr="008600A6">
          <w:rPr>
            <w:rFonts w:eastAsia="Times New Roman"/>
            <w:color w:val="1155CC"/>
            <w:u w:val="single"/>
            <w:lang w:val="en-CN"/>
          </w:rPr>
          <w:t>https://www.ecfr.gov/current/title-42/chapter-I/subchapter-A/part-2</w:t>
        </w:r>
      </w:hyperlink>
      <w:r w:rsidRPr="008600A6">
        <w:rPr>
          <w:rFonts w:eastAsia="Times New Roman"/>
          <w:color w:val="000000"/>
          <w:lang w:val="en-CN"/>
        </w:rPr>
        <w:t> </w:t>
      </w:r>
    </w:p>
    <w:p w14:paraId="0000011B" w14:textId="6A4F9F8B" w:rsidR="008600A6" w:rsidRDefault="008600A6" w:rsidP="008600A6">
      <w:pPr>
        <w:rPr>
          <w:rFonts w:ascii="Times New Roman" w:eastAsia="Times New Roman" w:hAnsi="Times New Roman" w:cs="Times New Roman"/>
          <w:sz w:val="24"/>
          <w:szCs w:val="24"/>
          <w:lang w:val="en-CN"/>
        </w:rPr>
      </w:pPr>
      <w:r w:rsidRPr="008600A6">
        <w:rPr>
          <w:rFonts w:eastAsia="Times New Roman"/>
          <w:color w:val="000000"/>
          <w:lang w:val="en-CN"/>
        </w:rPr>
        <w:lastRenderedPageBreak/>
        <w:t xml:space="preserve">- HHS OCR — HIPAA &amp; Telehealth FAQs: </w:t>
      </w:r>
      <w:hyperlink r:id="rId24" w:history="1">
        <w:r w:rsidRPr="008600A6">
          <w:rPr>
            <w:rFonts w:eastAsia="Times New Roman"/>
            <w:color w:val="1155CC"/>
            <w:u w:val="single"/>
            <w:lang w:val="en-CN"/>
          </w:rPr>
          <w:t>https://www.hhs.gov/hipaa/for-professionals/special-topics/hipaa-and-telehealth/index.html</w:t>
        </w:r>
      </w:hyperlink>
    </w:p>
    <w:p w14:paraId="0BA87B4E" w14:textId="77777777" w:rsidR="008600A6" w:rsidRDefault="008600A6">
      <w:pPr>
        <w:rPr>
          <w:rFonts w:ascii="Times New Roman" w:eastAsia="Times New Roman" w:hAnsi="Times New Roman" w:cs="Times New Roman"/>
          <w:sz w:val="24"/>
          <w:szCs w:val="24"/>
          <w:lang w:val="en-CN"/>
        </w:rPr>
      </w:pPr>
      <w:r>
        <w:rPr>
          <w:rFonts w:ascii="Times New Roman" w:eastAsia="Times New Roman" w:hAnsi="Times New Roman" w:cs="Times New Roman"/>
          <w:sz w:val="24"/>
          <w:szCs w:val="24"/>
          <w:lang w:val="en-CN"/>
        </w:rPr>
        <w:br w:type="page"/>
      </w:r>
    </w:p>
    <w:p w14:paraId="296EF22E"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lastRenderedPageBreak/>
        <w:t>Title:</w:t>
      </w:r>
      <w:r w:rsidRPr="008600A6">
        <w:rPr>
          <w:rFonts w:eastAsia="Times New Roman"/>
          <w:color w:val="000000"/>
          <w:lang w:val="en-CN"/>
        </w:rPr>
        <w:t xml:space="preserve"> Disaster Preparedness: Essentials</w:t>
      </w:r>
    </w:p>
    <w:p w14:paraId="204D90BA"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5AB5E405"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Audience: </w:t>
      </w:r>
      <w:r w:rsidRPr="008600A6">
        <w:rPr>
          <w:rFonts w:eastAsia="Times New Roman"/>
          <w:color w:val="000000"/>
          <w:lang w:val="en-CN"/>
        </w:rPr>
        <w:t>Licensed clinical providers at treatment centers (completion for compliance)</w:t>
      </w:r>
    </w:p>
    <w:p w14:paraId="0EF9735A"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Format:</w:t>
      </w:r>
      <w:r w:rsidRPr="008600A6">
        <w:rPr>
          <w:rFonts w:eastAsia="Times New Roman"/>
          <w:color w:val="000000"/>
          <w:lang w:val="en-CN"/>
        </w:rPr>
        <w:t xml:space="preserve"> Self-paced microlearning with 4 interactive activities and a short post-test</w:t>
      </w:r>
    </w:p>
    <w:p w14:paraId="12CB0DE1"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 xml:space="preserve">Total length: </w:t>
      </w:r>
      <w:r w:rsidRPr="008600A6">
        <w:rPr>
          <w:rFonts w:eastAsia="Times New Roman"/>
          <w:color w:val="000000"/>
          <w:lang w:val="en-CN"/>
        </w:rPr>
        <w:t>30 minutes</w:t>
      </w:r>
    </w:p>
    <w:p w14:paraId="12E01D79"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3AD76F4B"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b/>
          <w:bCs/>
          <w:color w:val="000000"/>
          <w:lang w:val="en-CN"/>
        </w:rPr>
        <w:t>Written Content:</w:t>
      </w:r>
    </w:p>
    <w:p w14:paraId="75D55CE5"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Disaster preparedness in clinical practice means planning to protect patients, staff, and essential services so care can continue during and after emergencies (natural, technological, or public-health). Key elements include knowing your facility’s Incident Command System/chain of command, your role in the Continuity of Operations Plan (COOP), location of emergency supplies and evacuation/shelter-in-place procedures, and contact lists for on</w:t>
      </w:r>
      <w:r w:rsidRPr="008600A6">
        <w:rPr>
          <w:rFonts w:eastAsia="Times New Roman"/>
          <w:color w:val="000000"/>
          <w:lang w:val="en-CN"/>
        </w:rPr>
        <w:noBreakHyphen/>
        <w:t xml:space="preserve">call leadership and community partners. Regular participation in drills and quick reference checklists improves speed and coordination during real events. (FEMA, HHS ASPR) — https://www.fema.gov ; </w:t>
      </w:r>
      <w:hyperlink r:id="rId25" w:history="1">
        <w:r w:rsidRPr="008600A6">
          <w:rPr>
            <w:rFonts w:eastAsia="Times New Roman"/>
            <w:color w:val="1155CC"/>
            <w:u w:val="single"/>
            <w:lang w:val="en-CN"/>
          </w:rPr>
          <w:t>https://www.phe.gov/Preparedness</w:t>
        </w:r>
      </w:hyperlink>
      <w:r w:rsidRPr="008600A6">
        <w:rPr>
          <w:rFonts w:eastAsia="Times New Roman"/>
          <w:color w:val="000000"/>
          <w:lang w:val="en-CN"/>
        </w:rPr>
        <w:t> </w:t>
      </w:r>
    </w:p>
    <w:p w14:paraId="1559B66E"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2DB8498B"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Clinically, prioritize patient safety and continuity of care: identify and triage high</w:t>
      </w:r>
      <w:r w:rsidRPr="008600A6">
        <w:rPr>
          <w:rFonts w:eastAsia="Times New Roman"/>
          <w:color w:val="000000"/>
          <w:lang w:val="en-CN"/>
        </w:rPr>
        <w:noBreakHyphen/>
        <w:t>risk patients (medication</w:t>
      </w:r>
      <w:r w:rsidRPr="008600A6">
        <w:rPr>
          <w:rFonts w:eastAsia="Times New Roman"/>
          <w:color w:val="000000"/>
          <w:lang w:val="en-CN"/>
        </w:rPr>
        <w:noBreakHyphen/>
        <w:t>dependent, mobility-limited, behavioral</w:t>
      </w:r>
      <w:r w:rsidRPr="008600A6">
        <w:rPr>
          <w:rFonts w:eastAsia="Times New Roman"/>
          <w:color w:val="000000"/>
          <w:lang w:val="en-CN"/>
        </w:rPr>
        <w:noBreakHyphen/>
        <w:t>health crises), ensure medication continuity and secure storage (e.g., temperature</w:t>
      </w:r>
      <w:r w:rsidRPr="008600A6">
        <w:rPr>
          <w:rFonts w:eastAsia="Times New Roman"/>
          <w:color w:val="000000"/>
          <w:lang w:val="en-CN"/>
        </w:rPr>
        <w:noBreakHyphen/>
        <w:t>sensitive meds), and use rapid documentation tools (paper grab</w:t>
      </w:r>
      <w:r w:rsidRPr="008600A6">
        <w:rPr>
          <w:rFonts w:eastAsia="Times New Roman"/>
          <w:color w:val="000000"/>
          <w:lang w:val="en-CN"/>
        </w:rPr>
        <w:noBreakHyphen/>
        <w:t>and</w:t>
      </w:r>
      <w:r w:rsidRPr="008600A6">
        <w:rPr>
          <w:rFonts w:eastAsia="Times New Roman"/>
          <w:color w:val="000000"/>
          <w:lang w:val="en-CN"/>
        </w:rPr>
        <w:noBreakHyphen/>
        <w:t xml:space="preserve">go forms with ID, meds, allergies). Communicate clearly with patients and families about changes in service delivery (telehealth, alternate sites) and maintain confidentiality and appropriate sharing of information per privacy rules during emergencies. (CDC, The Joint Commission) — https://www.cdc.gov/cpr ; </w:t>
      </w:r>
      <w:hyperlink r:id="rId26" w:history="1">
        <w:r w:rsidRPr="008600A6">
          <w:rPr>
            <w:rFonts w:eastAsia="Times New Roman"/>
            <w:color w:val="1155CC"/>
            <w:u w:val="single"/>
            <w:lang w:val="en-CN"/>
          </w:rPr>
          <w:t>https://www.jointcommission.org</w:t>
        </w:r>
      </w:hyperlink>
      <w:r w:rsidRPr="008600A6">
        <w:rPr>
          <w:rFonts w:eastAsia="Times New Roman"/>
          <w:color w:val="000000"/>
          <w:lang w:val="en-CN"/>
        </w:rPr>
        <w:t> </w:t>
      </w:r>
    </w:p>
    <w:p w14:paraId="11EA1A16"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5CF7877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When incidents occur, activate the COOP/incident command, follow containment and safety protocols, document all decisions, and notify your designated leadership/incident command and relevant external agencies. Report critical issues (breaches, security threats, facility damage) promptly and coordinate with local emergency management, public health, and behavioral</w:t>
      </w:r>
      <w:r w:rsidRPr="008600A6">
        <w:rPr>
          <w:rFonts w:eastAsia="Times New Roman"/>
          <w:color w:val="000000"/>
          <w:lang w:val="en-CN"/>
        </w:rPr>
        <w:noBreakHyphen/>
        <w:t xml:space="preserve">health recovery resources for patient transfer, sheltering, or resource needs. After-action review and updating plans based on lessons learned (including supply inventories, communication gaps, and staff training) are essential to improving preparedness. (SAMHSA, FEMA) — </w:t>
      </w:r>
      <w:hyperlink r:id="rId27" w:history="1">
        <w:r w:rsidRPr="008600A6">
          <w:rPr>
            <w:rFonts w:eastAsia="Times New Roman"/>
            <w:color w:val="1155CC"/>
            <w:u w:val="single"/>
            <w:lang w:val="en-CN"/>
          </w:rPr>
          <w:t>https://www.samhsa.gov/disaster-preparedness</w:t>
        </w:r>
      </w:hyperlink>
      <w:r w:rsidRPr="008600A6">
        <w:rPr>
          <w:rFonts w:eastAsia="Times New Roman"/>
          <w:color w:val="000000"/>
          <w:lang w:val="en-CN"/>
        </w:rPr>
        <w:t xml:space="preserve">;  </w:t>
      </w:r>
      <w:hyperlink r:id="rId28" w:history="1">
        <w:r w:rsidRPr="008600A6">
          <w:rPr>
            <w:rFonts w:eastAsia="Times New Roman"/>
            <w:color w:val="1155CC"/>
            <w:u w:val="single"/>
            <w:lang w:val="en-CN"/>
          </w:rPr>
          <w:t>https://www.fema.gov/emergency-managers/national-preparedness-division</w:t>
        </w:r>
      </w:hyperlink>
      <w:r w:rsidRPr="008600A6">
        <w:rPr>
          <w:rFonts w:eastAsia="Times New Roman"/>
          <w:color w:val="000000"/>
          <w:lang w:val="en-CN"/>
        </w:rPr>
        <w:t> </w:t>
      </w:r>
    </w:p>
    <w:p w14:paraId="1F15F43F"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25200078"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Suggested resources / citations (include on course resource page)</w:t>
      </w:r>
    </w:p>
    <w:p w14:paraId="57BEB5BD"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FEMA — Emergency Management Institute and preparedness guidance: </w:t>
      </w:r>
      <w:hyperlink r:id="rId29" w:history="1">
        <w:r w:rsidRPr="008600A6">
          <w:rPr>
            <w:rFonts w:eastAsia="Times New Roman"/>
            <w:color w:val="1155CC"/>
            <w:u w:val="single"/>
            <w:lang w:val="en-CN"/>
          </w:rPr>
          <w:t>https://www.fema.gov</w:t>
        </w:r>
      </w:hyperlink>
      <w:r w:rsidRPr="008600A6">
        <w:rPr>
          <w:rFonts w:eastAsia="Times New Roman"/>
          <w:color w:val="000000"/>
          <w:lang w:val="en-CN"/>
        </w:rPr>
        <w:t>   </w:t>
      </w:r>
    </w:p>
    <w:p w14:paraId="4A4EEBB3"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HHS ASPR — Health Care Preparedness and Response: </w:t>
      </w:r>
      <w:hyperlink r:id="rId30" w:history="1">
        <w:r w:rsidRPr="008600A6">
          <w:rPr>
            <w:rFonts w:eastAsia="Times New Roman"/>
            <w:color w:val="1155CC"/>
            <w:u w:val="single"/>
            <w:lang w:val="en-CN"/>
          </w:rPr>
          <w:t>https://www.phe.gov/Preparedness/Pages/default.aspx</w:t>
        </w:r>
      </w:hyperlink>
      <w:r w:rsidRPr="008600A6">
        <w:rPr>
          <w:rFonts w:eastAsia="Times New Roman"/>
          <w:color w:val="000000"/>
          <w:lang w:val="en-CN"/>
        </w:rPr>
        <w:t>   </w:t>
      </w:r>
    </w:p>
    <w:p w14:paraId="50B51C46"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CDC — Emergency Preparedness and Response (healthcare-specific resources): </w:t>
      </w:r>
      <w:hyperlink r:id="rId31" w:history="1">
        <w:r w:rsidRPr="008600A6">
          <w:rPr>
            <w:rFonts w:eastAsia="Times New Roman"/>
            <w:color w:val="1155CC"/>
            <w:u w:val="single"/>
            <w:lang w:val="en-CN"/>
          </w:rPr>
          <w:t>https://www.cdc.gov/cpr/index.htm</w:t>
        </w:r>
      </w:hyperlink>
      <w:r w:rsidRPr="008600A6">
        <w:rPr>
          <w:rFonts w:eastAsia="Times New Roman"/>
          <w:color w:val="000000"/>
          <w:lang w:val="en-CN"/>
        </w:rPr>
        <w:t>   </w:t>
      </w:r>
    </w:p>
    <w:p w14:paraId="4F0A98FF"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CDC — Healthcare Facility Emergency Preparedness Checklist: </w:t>
      </w:r>
      <w:hyperlink r:id="rId32" w:history="1">
        <w:r w:rsidRPr="008600A6">
          <w:rPr>
            <w:rFonts w:eastAsia="Times New Roman"/>
            <w:color w:val="1155CC"/>
            <w:u w:val="single"/>
            <w:lang w:val="en-CN"/>
          </w:rPr>
          <w:t>https://www.cdc.gov/cpr/readiness/healthcare.htm</w:t>
        </w:r>
      </w:hyperlink>
      <w:r w:rsidRPr="008600A6">
        <w:rPr>
          <w:rFonts w:eastAsia="Times New Roman"/>
          <w:color w:val="000000"/>
          <w:lang w:val="en-CN"/>
        </w:rPr>
        <w:t>   </w:t>
      </w:r>
    </w:p>
    <w:p w14:paraId="649C5A3B"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The Joint Commission — Emergency Management Standards and Resources: </w:t>
      </w:r>
      <w:hyperlink r:id="rId33" w:history="1">
        <w:r w:rsidRPr="008600A6">
          <w:rPr>
            <w:rFonts w:eastAsia="Times New Roman"/>
            <w:color w:val="1155CC"/>
            <w:u w:val="single"/>
            <w:lang w:val="en-CN"/>
          </w:rPr>
          <w:t>https://www.jointcommission.org/topics/disaster-preparedness/</w:t>
        </w:r>
      </w:hyperlink>
      <w:r w:rsidRPr="008600A6">
        <w:rPr>
          <w:rFonts w:eastAsia="Times New Roman"/>
          <w:color w:val="000000"/>
          <w:lang w:val="en-CN"/>
        </w:rPr>
        <w:t>   </w:t>
      </w:r>
    </w:p>
    <w:p w14:paraId="5D3E8357" w14:textId="77777777" w:rsidR="008600A6" w:rsidRPr="008600A6" w:rsidRDefault="008600A6" w:rsidP="008600A6">
      <w:pPr>
        <w:spacing w:line="240" w:lineRule="auto"/>
        <w:rPr>
          <w:rFonts w:ascii="Times New Roman" w:eastAsia="Times New Roman" w:hAnsi="Times New Roman" w:cs="Times New Roman"/>
          <w:sz w:val="24"/>
          <w:szCs w:val="24"/>
          <w:lang w:val="en-CN"/>
        </w:rPr>
      </w:pPr>
      <w:r w:rsidRPr="008600A6">
        <w:rPr>
          <w:rFonts w:eastAsia="Times New Roman"/>
          <w:color w:val="000000"/>
          <w:lang w:val="en-CN"/>
        </w:rPr>
        <w:t xml:space="preserve">- SAMHSA — Disaster Behavioral Health and Behavioral Health Recovery Resources: </w:t>
      </w:r>
      <w:hyperlink r:id="rId34" w:history="1">
        <w:r w:rsidRPr="008600A6">
          <w:rPr>
            <w:rFonts w:eastAsia="Times New Roman"/>
            <w:color w:val="1155CC"/>
            <w:u w:val="single"/>
            <w:lang w:val="en-CN"/>
          </w:rPr>
          <w:t>https://www.samhsa.gov/disaster-preparedness</w:t>
        </w:r>
      </w:hyperlink>
      <w:r w:rsidRPr="008600A6">
        <w:rPr>
          <w:rFonts w:eastAsia="Times New Roman"/>
          <w:color w:val="000000"/>
          <w:lang w:val="en-CN"/>
        </w:rPr>
        <w:t>   </w:t>
      </w:r>
    </w:p>
    <w:p w14:paraId="42418EC0" w14:textId="77777777" w:rsidR="008600A6" w:rsidRPr="008600A6" w:rsidRDefault="008600A6" w:rsidP="008600A6">
      <w:pPr>
        <w:spacing w:line="240" w:lineRule="auto"/>
        <w:rPr>
          <w:rFonts w:ascii="Times New Roman" w:eastAsia="Times New Roman" w:hAnsi="Times New Roman" w:cs="Times New Roman"/>
          <w:sz w:val="24"/>
          <w:szCs w:val="24"/>
          <w:lang w:val="en-CN"/>
        </w:rPr>
      </w:pPr>
    </w:p>
    <w:p w14:paraId="5C6D5B2C" w14:textId="77777777" w:rsidR="00F2196D" w:rsidRPr="008600A6" w:rsidRDefault="00F2196D" w:rsidP="008600A6">
      <w:pPr>
        <w:rPr>
          <w:lang w:val="en-CN"/>
        </w:rPr>
      </w:pPr>
    </w:p>
    <w:sectPr w:rsidR="00F2196D" w:rsidRPr="008600A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17B2F4E5-7EFD-9043-A5FD-2F6853427DC6}"/>
    <w:embedBold r:id="rId2" w:fontKey="{FB2CAEA6-BFFF-FD47-AA50-BC61AED852F4}"/>
    <w:embedItalic r:id="rId3" w:fontKey="{E4B4F7B2-13DF-EF43-B079-BF237F18335E}"/>
  </w:font>
  <w:font w:name="Times New Roman">
    <w:panose1 w:val="02020603050405020304"/>
    <w:charset w:val="00"/>
    <w:family w:val="roman"/>
    <w:pitch w:val="variable"/>
    <w:sig w:usb0="E0002EFF" w:usb1="C000785B" w:usb2="00000009" w:usb3="00000000" w:csb0="000001FF" w:csb1="00000000"/>
    <w:embedRegular r:id="rId4" w:fontKey="{C4F4E3D5-6CF7-3349-818D-6371C11B4254}"/>
    <w:embedBold r:id="rId5" w:fontKey="{79CB42D9-8AFF-4B49-AD47-7A94448270FD}"/>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6" w:fontKey="{5C70876B-B866-3B41-8AB2-138FFAAF298B}"/>
  </w:font>
  <w:font w:name="Cambria">
    <w:panose1 w:val="02040503050406030204"/>
    <w:charset w:val="00"/>
    <w:family w:val="roman"/>
    <w:notTrueType/>
    <w:pitch w:val="default"/>
    <w:embedRegular r:id="rId7" w:fontKey="{D2DA13E9-F225-A34A-BC6B-C2B27281E82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96D"/>
    <w:rsid w:val="008600A6"/>
    <w:rsid w:val="00F2196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62B64F"/>
  <w15:docId w15:val="{1907E274-DB10-FB4B-9771-0FD9F8A4E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8600A6"/>
    <w:pPr>
      <w:spacing w:before="100" w:beforeAutospacing="1" w:after="100" w:afterAutospacing="1" w:line="240" w:lineRule="auto"/>
    </w:pPr>
    <w:rPr>
      <w:rFonts w:ascii="Times New Roman" w:eastAsia="Times New Roman" w:hAnsi="Times New Roman" w:cs="Times New Roman"/>
      <w:sz w:val="24"/>
      <w:szCs w:val="24"/>
      <w:lang w:val="en-CN"/>
    </w:rPr>
  </w:style>
  <w:style w:type="character" w:styleId="Hyperlink">
    <w:name w:val="Hyperlink"/>
    <w:basedOn w:val="DefaultParagraphFont"/>
    <w:uiPriority w:val="99"/>
    <w:semiHidden/>
    <w:unhideWhenUsed/>
    <w:rsid w:val="008600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2050">
      <w:bodyDiv w:val="1"/>
      <w:marLeft w:val="0"/>
      <w:marRight w:val="0"/>
      <w:marTop w:val="0"/>
      <w:marBottom w:val="0"/>
      <w:divBdr>
        <w:top w:val="none" w:sz="0" w:space="0" w:color="auto"/>
        <w:left w:val="none" w:sz="0" w:space="0" w:color="auto"/>
        <w:bottom w:val="none" w:sz="0" w:space="0" w:color="auto"/>
        <w:right w:val="none" w:sz="0" w:space="0" w:color="auto"/>
      </w:divBdr>
    </w:div>
    <w:div w:id="962231873">
      <w:bodyDiv w:val="1"/>
      <w:marLeft w:val="0"/>
      <w:marRight w:val="0"/>
      <w:marTop w:val="0"/>
      <w:marBottom w:val="0"/>
      <w:divBdr>
        <w:top w:val="none" w:sz="0" w:space="0" w:color="auto"/>
        <w:left w:val="none" w:sz="0" w:space="0" w:color="auto"/>
        <w:bottom w:val="none" w:sz="0" w:space="0" w:color="auto"/>
        <w:right w:val="none" w:sz="0" w:space="0" w:color="auto"/>
      </w:divBdr>
    </w:div>
    <w:div w:id="1367949762">
      <w:bodyDiv w:val="1"/>
      <w:marLeft w:val="0"/>
      <w:marRight w:val="0"/>
      <w:marTop w:val="0"/>
      <w:marBottom w:val="0"/>
      <w:divBdr>
        <w:top w:val="none" w:sz="0" w:space="0" w:color="auto"/>
        <w:left w:val="none" w:sz="0" w:space="0" w:color="auto"/>
        <w:bottom w:val="none" w:sz="0" w:space="0" w:color="auto"/>
        <w:right w:val="none" w:sz="0" w:space="0" w:color="auto"/>
      </w:divBdr>
    </w:div>
    <w:div w:id="1386299875">
      <w:bodyDiv w:val="1"/>
      <w:marLeft w:val="0"/>
      <w:marRight w:val="0"/>
      <w:marTop w:val="0"/>
      <w:marBottom w:val="0"/>
      <w:divBdr>
        <w:top w:val="none" w:sz="0" w:space="0" w:color="auto"/>
        <w:left w:val="none" w:sz="0" w:space="0" w:color="auto"/>
        <w:bottom w:val="none" w:sz="0" w:space="0" w:color="auto"/>
        <w:right w:val="none" w:sz="0" w:space="0" w:color="auto"/>
      </w:divBdr>
    </w:div>
    <w:div w:id="15756262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hhs.gov/hipaa/for-professionals/index.html" TargetMode="External"/><Relationship Id="rId18" Type="http://schemas.openxmlformats.org/officeDocument/2006/relationships/hyperlink" Target="https://www.hhs.gov/hipaa/for-professionals/special-topics/hipaa-and-telehealth/index.html" TargetMode="External"/><Relationship Id="rId26" Type="http://schemas.openxmlformats.org/officeDocument/2006/relationships/hyperlink" Target="https://www.jointcommission.org" TargetMode="External"/><Relationship Id="rId3" Type="http://schemas.openxmlformats.org/officeDocument/2006/relationships/webSettings" Target="webSettings.xml"/><Relationship Id="rId21" Type="http://schemas.openxmlformats.org/officeDocument/2006/relationships/hyperlink" Target="https://www.hhs.gov/hipaa/for-professionals/security/index.html" TargetMode="External"/><Relationship Id="rId34" Type="http://schemas.openxmlformats.org/officeDocument/2006/relationships/hyperlink" Target="https://www.samhsa.gov/disaster-preparedness" TargetMode="External"/><Relationship Id="rId7" Type="http://schemas.openxmlformats.org/officeDocument/2006/relationships/hyperlink" Target="https://www.osha.gov/workplace-violence" TargetMode="External"/><Relationship Id="rId12" Type="http://schemas.openxmlformats.org/officeDocument/2006/relationships/hyperlink" Target="https://www.samhsa.gov/" TargetMode="External"/><Relationship Id="rId17" Type="http://schemas.openxmlformats.org/officeDocument/2006/relationships/hyperlink" Target="https://www.hhs.gov/hipaa/for-professionals/breach-notification/index.html" TargetMode="External"/><Relationship Id="rId25" Type="http://schemas.openxmlformats.org/officeDocument/2006/relationships/hyperlink" Target="https://www.phe.gov/Preparedness" TargetMode="External"/><Relationship Id="rId33" Type="http://schemas.openxmlformats.org/officeDocument/2006/relationships/hyperlink" Target="https://www.jointcommission.org/topics/disaster-preparedness/" TargetMode="External"/><Relationship Id="rId2" Type="http://schemas.openxmlformats.org/officeDocument/2006/relationships/settings" Target="settings.xml"/><Relationship Id="rId16" Type="http://schemas.openxmlformats.org/officeDocument/2006/relationships/hyperlink" Target="https://www.ecfr.gov/current/title-42/chapter-I/subchapter-A/part-2" TargetMode="External"/><Relationship Id="rId20" Type="http://schemas.openxmlformats.org/officeDocument/2006/relationships/hyperlink" Target="https://www.hhs.gov/hipaa/for-professionals/privacy/index.html" TargetMode="External"/><Relationship Id="rId29" Type="http://schemas.openxmlformats.org/officeDocument/2006/relationships/hyperlink" Target="https://www.fema.gov" TargetMode="External"/><Relationship Id="rId1" Type="http://schemas.openxmlformats.org/officeDocument/2006/relationships/styles" Target="styles.xml"/><Relationship Id="rId6" Type="http://schemas.openxmlformats.org/officeDocument/2006/relationships/hyperlink" Target="https://www.eeoc.gov/laws/guidance/enforcement-guidance-harassment-workplace" TargetMode="External"/><Relationship Id="rId11" Type="http://schemas.openxmlformats.org/officeDocument/2006/relationships/hyperlink" Target="https://www.cdc.gov/niosh/topics/violence/" TargetMode="External"/><Relationship Id="rId24" Type="http://schemas.openxmlformats.org/officeDocument/2006/relationships/hyperlink" Target="https://www.hhs.gov/hipaa/for-professionals/special-topics/hipaa-and-telehealth/index.html" TargetMode="External"/><Relationship Id="rId32" Type="http://schemas.openxmlformats.org/officeDocument/2006/relationships/hyperlink" Target="https://www.cdc.gov/cpr/readiness/healthcare.htm" TargetMode="External"/><Relationship Id="rId5" Type="http://schemas.openxmlformats.org/officeDocument/2006/relationships/hyperlink" Target="https://www.samhsa.gov" TargetMode="External"/><Relationship Id="rId15" Type="http://schemas.openxmlformats.org/officeDocument/2006/relationships/hyperlink" Target="https://www.hhs.gov/hipaa/for-professionals/security/index.html" TargetMode="External"/><Relationship Id="rId23" Type="http://schemas.openxmlformats.org/officeDocument/2006/relationships/hyperlink" Target="https://www.ecfr.gov/current/title-42/chapter-I/subchapter-A/part-2" TargetMode="External"/><Relationship Id="rId28" Type="http://schemas.openxmlformats.org/officeDocument/2006/relationships/hyperlink" Target="https://www.fema.gov/emergency-managers/national-preparedness-division" TargetMode="External"/><Relationship Id="rId36" Type="http://schemas.openxmlformats.org/officeDocument/2006/relationships/theme" Target="theme/theme1.xml"/><Relationship Id="rId10" Type="http://schemas.openxmlformats.org/officeDocument/2006/relationships/hyperlink" Target="https://www.osha.gov/workplace-violence" TargetMode="External"/><Relationship Id="rId19" Type="http://schemas.openxmlformats.org/officeDocument/2006/relationships/hyperlink" Target="https://www.hhs.gov/hipaa/for-professionals/index.html" TargetMode="External"/><Relationship Id="rId31" Type="http://schemas.openxmlformats.org/officeDocument/2006/relationships/hyperlink" Target="https://www.cdc.gov/cpr/index.htm" TargetMode="External"/><Relationship Id="rId4" Type="http://schemas.openxmlformats.org/officeDocument/2006/relationships/hyperlink" Target="https://www.eeoc.gov/sexual-harassment" TargetMode="External"/><Relationship Id="rId9" Type="http://schemas.openxmlformats.org/officeDocument/2006/relationships/hyperlink" Target="https://www.eeoc.gov/laws/guidance/enforcement-guidance-harassment-workplace" TargetMode="External"/><Relationship Id="rId14" Type="http://schemas.openxmlformats.org/officeDocument/2006/relationships/hyperlink" Target="https://www.ecfr.gov/current/title-45/subtitle-A" TargetMode="External"/><Relationship Id="rId22" Type="http://schemas.openxmlformats.org/officeDocument/2006/relationships/hyperlink" Target="https://www.ecfr.gov/current/title-45/subtitle-A" TargetMode="External"/><Relationship Id="rId27" Type="http://schemas.openxmlformats.org/officeDocument/2006/relationships/hyperlink" Target="https://www.samhsa.gov/disaster-preparedness" TargetMode="External"/><Relationship Id="rId30" Type="http://schemas.openxmlformats.org/officeDocument/2006/relationships/hyperlink" Target="https://www.phe.gov/Preparedness/Pages/default.aspx" TargetMode="External"/><Relationship Id="rId35" Type="http://schemas.openxmlformats.org/officeDocument/2006/relationships/fontTable" Target="fontTable.xml"/><Relationship Id="rId8" Type="http://schemas.openxmlformats.org/officeDocument/2006/relationships/hyperlink" Target="https://www.eeoc.gov/sexual-harass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1744</Words>
  <Characters>9943</Characters>
  <Application>Microsoft Office Word</Application>
  <DocSecurity>0</DocSecurity>
  <Lines>82</Lines>
  <Paragraphs>23</Paragraphs>
  <ScaleCrop>false</ScaleCrop>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Isaac Epstein</cp:lastModifiedBy>
  <cp:revision>2</cp:revision>
  <dcterms:created xsi:type="dcterms:W3CDTF">2026-05-19T16:47:00Z</dcterms:created>
  <dcterms:modified xsi:type="dcterms:W3CDTF">2026-05-19T16:51:00Z</dcterms:modified>
</cp:coreProperties>
</file>