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A312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Title:</w:t>
      </w:r>
      <w:r w:rsidRPr="008600A6">
        <w:rPr>
          <w:rFonts w:eastAsia="Times New Roman"/>
          <w:color w:val="000000"/>
          <w:lang w:val="en-CN"/>
        </w:rPr>
        <w:t xml:space="preserve"> HIPAA Basics for Clinical Practice</w:t>
      </w:r>
    </w:p>
    <w:p w14:paraId="0C1CAA05"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42B3372A"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 xml:space="preserve">Audience: </w:t>
      </w:r>
      <w:r w:rsidRPr="008600A6">
        <w:rPr>
          <w:rFonts w:eastAsia="Times New Roman"/>
          <w:color w:val="000000"/>
          <w:lang w:val="en-CN"/>
        </w:rPr>
        <w:t>Licensed clinical providers at treatment centers (completion for compliance)</w:t>
      </w:r>
    </w:p>
    <w:p w14:paraId="70582CAF"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Format:</w:t>
      </w:r>
      <w:r w:rsidRPr="008600A6">
        <w:rPr>
          <w:rFonts w:eastAsia="Times New Roman"/>
          <w:color w:val="000000"/>
          <w:lang w:val="en-CN"/>
        </w:rPr>
        <w:t xml:space="preserve"> Self-paced microlearning with 4 interactive activities and a short post-test</w:t>
      </w:r>
    </w:p>
    <w:p w14:paraId="01B71B0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 xml:space="preserve">Total length: </w:t>
      </w:r>
      <w:r w:rsidRPr="008600A6">
        <w:rPr>
          <w:rFonts w:eastAsia="Times New Roman"/>
          <w:color w:val="000000"/>
          <w:lang w:val="en-CN"/>
        </w:rPr>
        <w:t>30 minutes</w:t>
      </w:r>
    </w:p>
    <w:p w14:paraId="6894B348"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2BAEC5E6"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Written Content:</w:t>
      </w:r>
    </w:p>
    <w:p w14:paraId="6AEAD2E2"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HIPAA protects patients’ protected health information (PHI), any individually identifiable health data in verbal, paper, or electronic form, and applies to covered entities and their business associates. In clinical practice, routine treatment, payment, and healthcare operations (TPO) disclosures are permitted without patient authorization, but clinicians must follow the “minimum necessary” standard when sharing PHI beyond direct treatment. Certain items (notably psychotherapy notes and most disclosures for marketing or sale of PHI) generally require a separate written authorization. (See HHS: HIPAA Privacy Rule; 45 CFR Parts 160 &amp; 164) — </w:t>
      </w:r>
      <w:hyperlink r:id="rId4" w:history="1">
        <w:r w:rsidRPr="008600A6">
          <w:rPr>
            <w:rFonts w:eastAsia="Times New Roman"/>
            <w:color w:val="1155CC"/>
            <w:u w:val="single"/>
            <w:lang w:val="en-CN"/>
          </w:rPr>
          <w:t>https://www.hhs.gov/hipaa/for-professionals/index.html</w:t>
        </w:r>
      </w:hyperlink>
      <w:r w:rsidRPr="008600A6">
        <w:rPr>
          <w:rFonts w:eastAsia="Times New Roman"/>
          <w:color w:val="000000"/>
          <w:lang w:val="en-CN"/>
        </w:rPr>
        <w:t xml:space="preserve">;  </w:t>
      </w:r>
      <w:hyperlink r:id="rId5" w:history="1">
        <w:r w:rsidRPr="008600A6">
          <w:rPr>
            <w:rFonts w:eastAsia="Times New Roman"/>
            <w:color w:val="1155CC"/>
            <w:u w:val="single"/>
            <w:lang w:val="en-CN"/>
          </w:rPr>
          <w:t>https://www.ecfr.gov/current/title-45/subtitle-A</w:t>
        </w:r>
      </w:hyperlink>
      <w:r w:rsidRPr="008600A6">
        <w:rPr>
          <w:rFonts w:eastAsia="Times New Roman"/>
          <w:color w:val="000000"/>
          <w:lang w:val="en-CN"/>
        </w:rPr>
        <w:t> </w:t>
      </w:r>
    </w:p>
    <w:p w14:paraId="4DA90922"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68D03FE1"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Protect patient privacy through basic administrative, physical, and technical safeguards: verify identities before disclosing information, lock and secure paper records, use organization</w:t>
      </w:r>
      <w:r w:rsidRPr="008600A6">
        <w:rPr>
          <w:rFonts w:eastAsia="Times New Roman"/>
          <w:color w:val="000000"/>
          <w:lang w:val="en-CN"/>
        </w:rPr>
        <w:noBreakHyphen/>
        <w:t xml:space="preserve">approved encrypted platforms for messaging and telehealth, maintain strong passwords and device encryption, and apply role-based access and minimum-necessary access to EHRs. For behavioral health, remember the heightened protections for psychotherapy notes and consider 42 CFR Part 2 when substance-use treatment records may apply. Document patient requests, disclosures, and clinical decisions about sharing information. (See HHS OCR Security Rule; 42 CFR Part 2) — </w:t>
      </w:r>
      <w:hyperlink r:id="rId6" w:history="1">
        <w:r w:rsidRPr="008600A6">
          <w:rPr>
            <w:rFonts w:eastAsia="Times New Roman"/>
            <w:color w:val="1155CC"/>
            <w:u w:val="single"/>
            <w:lang w:val="en-CN"/>
          </w:rPr>
          <w:t>https://www.hhs.gov/hipaa/for-professionals/security/index.html</w:t>
        </w:r>
      </w:hyperlink>
      <w:r w:rsidRPr="008600A6">
        <w:rPr>
          <w:rFonts w:eastAsia="Times New Roman"/>
          <w:color w:val="000000"/>
          <w:lang w:val="en-CN"/>
        </w:rPr>
        <w:t xml:space="preserve">;  </w:t>
      </w:r>
      <w:hyperlink r:id="rId7" w:history="1">
        <w:r w:rsidRPr="008600A6">
          <w:rPr>
            <w:rFonts w:eastAsia="Times New Roman"/>
            <w:color w:val="1155CC"/>
            <w:u w:val="single"/>
            <w:lang w:val="en-CN"/>
          </w:rPr>
          <w:t>https://www.ecfr.gov/current/title-42/chapter-I/subchapter-A/part-2</w:t>
        </w:r>
      </w:hyperlink>
      <w:r w:rsidRPr="008600A6">
        <w:rPr>
          <w:rFonts w:eastAsia="Times New Roman"/>
          <w:color w:val="000000"/>
          <w:lang w:val="en-CN"/>
        </w:rPr>
        <w:t> </w:t>
      </w:r>
    </w:p>
    <w:p w14:paraId="182F9579"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74860AA9"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If you suspect a privacy breach or unauthorized disclosure, contain the incident, notify your supervisor/privacy officer and IT immediately, and follow your organization’s reporting process; breaches may require notification to affected individuals and HHS OCR. When in doubt, subpoenas, law-enforcement requests, or overlapping laws, consult your privacy officer or legal counsel before releasing PHI. Maintain familiarity with organizational policies, emergency exceptions (limited disclosures for safety/public health), and telehealth HIPAA guidance to ensure compliant, patient-centered care. (See HHS OCR breach guidance and telehealth FAQs) — </w:t>
      </w:r>
      <w:hyperlink r:id="rId8" w:history="1">
        <w:r w:rsidRPr="008600A6">
          <w:rPr>
            <w:rFonts w:eastAsia="Times New Roman"/>
            <w:color w:val="1155CC"/>
            <w:u w:val="single"/>
            <w:lang w:val="en-CN"/>
          </w:rPr>
          <w:t>https://www.hhs.gov/hipaa/for-professionals/breach-notification/index.html</w:t>
        </w:r>
      </w:hyperlink>
      <w:r w:rsidRPr="008600A6">
        <w:rPr>
          <w:rFonts w:eastAsia="Times New Roman"/>
          <w:color w:val="000000"/>
          <w:lang w:val="en-CN"/>
        </w:rPr>
        <w:t xml:space="preserve">;  </w:t>
      </w:r>
      <w:hyperlink r:id="rId9" w:history="1">
        <w:r w:rsidRPr="008600A6">
          <w:rPr>
            <w:rFonts w:eastAsia="Times New Roman"/>
            <w:color w:val="1155CC"/>
            <w:u w:val="single"/>
            <w:lang w:val="en-CN"/>
          </w:rPr>
          <w:t>https://www.hhs.gov/hipaa/for-professionals/special-topics/hipaa-and-telehealth/index.html</w:t>
        </w:r>
      </w:hyperlink>
      <w:r w:rsidRPr="008600A6">
        <w:rPr>
          <w:rFonts w:eastAsia="Times New Roman"/>
          <w:color w:val="000000"/>
          <w:lang w:val="en-CN"/>
        </w:rPr>
        <w:t> </w:t>
      </w:r>
    </w:p>
    <w:p w14:paraId="5553EF14"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163B53C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Citations / Resources</w:t>
      </w:r>
    </w:p>
    <w:p w14:paraId="7D09EBC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HHS — HIPAA for Professionals (Privacy, Security, Breach Notification): </w:t>
      </w:r>
      <w:hyperlink r:id="rId10" w:history="1">
        <w:r w:rsidRPr="008600A6">
          <w:rPr>
            <w:rFonts w:eastAsia="Times New Roman"/>
            <w:color w:val="1155CC"/>
            <w:u w:val="single"/>
            <w:lang w:val="en-CN"/>
          </w:rPr>
          <w:t>https://www.hhs.gov/hipaa/for-professionals/index.html</w:t>
        </w:r>
      </w:hyperlink>
      <w:r w:rsidRPr="008600A6">
        <w:rPr>
          <w:rFonts w:eastAsia="Times New Roman"/>
          <w:color w:val="000000"/>
          <w:lang w:val="en-CN"/>
        </w:rPr>
        <w:t> </w:t>
      </w:r>
    </w:p>
    <w:p w14:paraId="00A7467B"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HHS OCR — Summary of the HIPAA Privacy Rule: </w:t>
      </w:r>
      <w:hyperlink r:id="rId11" w:history="1">
        <w:r w:rsidRPr="008600A6">
          <w:rPr>
            <w:rFonts w:eastAsia="Times New Roman"/>
            <w:color w:val="1155CC"/>
            <w:u w:val="single"/>
            <w:lang w:val="en-CN"/>
          </w:rPr>
          <w:t>https://www.hhs.gov/hipaa/for-professionals/privacy/index.html</w:t>
        </w:r>
      </w:hyperlink>
      <w:r w:rsidRPr="008600A6">
        <w:rPr>
          <w:rFonts w:eastAsia="Times New Roman"/>
          <w:color w:val="000000"/>
          <w:lang w:val="en-CN"/>
        </w:rPr>
        <w:t> </w:t>
      </w:r>
    </w:p>
    <w:p w14:paraId="2C4782AC"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HHS OCR — Security Rule: </w:t>
      </w:r>
      <w:hyperlink r:id="rId12" w:history="1">
        <w:r w:rsidRPr="008600A6">
          <w:rPr>
            <w:rFonts w:eastAsia="Times New Roman"/>
            <w:color w:val="1155CC"/>
            <w:u w:val="single"/>
            <w:lang w:val="en-CN"/>
          </w:rPr>
          <w:t>https://www.hhs.gov/hipaa/for-professionals/security/index.html</w:t>
        </w:r>
      </w:hyperlink>
      <w:r w:rsidRPr="008600A6">
        <w:rPr>
          <w:rFonts w:eastAsia="Times New Roman"/>
          <w:color w:val="000000"/>
          <w:lang w:val="en-CN"/>
        </w:rPr>
        <w:t> </w:t>
      </w:r>
    </w:p>
    <w:p w14:paraId="4E6CDDD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- 45 CFR Parts 160 &amp; 164 (HIPAA rules): </w:t>
      </w:r>
      <w:hyperlink r:id="rId13" w:history="1">
        <w:r w:rsidRPr="008600A6">
          <w:rPr>
            <w:rFonts w:eastAsia="Times New Roman"/>
            <w:color w:val="1155CC"/>
            <w:u w:val="single"/>
            <w:lang w:val="en-CN"/>
          </w:rPr>
          <w:t>https://www.ecfr.gov/current/title-45/subtitle-A</w:t>
        </w:r>
      </w:hyperlink>
      <w:r w:rsidRPr="008600A6">
        <w:rPr>
          <w:rFonts w:eastAsia="Times New Roman"/>
          <w:color w:val="000000"/>
          <w:lang w:val="en-CN"/>
        </w:rPr>
        <w:t> </w:t>
      </w:r>
    </w:p>
    <w:p w14:paraId="4187993F"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- 42 CFR Part 2 (SUD confidentiality): </w:t>
      </w:r>
      <w:hyperlink r:id="rId14" w:history="1">
        <w:r w:rsidRPr="008600A6">
          <w:rPr>
            <w:rFonts w:eastAsia="Times New Roman"/>
            <w:color w:val="1155CC"/>
            <w:u w:val="single"/>
            <w:lang w:val="en-CN"/>
          </w:rPr>
          <w:t>https://www.ecfr.gov/current/title-42/chapter-I/subchapter-A/part-2</w:t>
        </w:r>
      </w:hyperlink>
      <w:r w:rsidRPr="008600A6">
        <w:rPr>
          <w:rFonts w:eastAsia="Times New Roman"/>
          <w:color w:val="000000"/>
          <w:lang w:val="en-CN"/>
        </w:rPr>
        <w:t> </w:t>
      </w:r>
    </w:p>
    <w:p w14:paraId="5C6D5B2C" w14:textId="777777E0" w:rsidR="00F2196D" w:rsidRPr="000B0F36" w:rsidRDefault="008600A6" w:rsidP="008600A6">
      <w:pPr>
        <w:rPr>
          <w:rFonts w:ascii="Times New Roman" w:eastAsia="Times New Roman" w:hAnsi="Times New Roman" w:cs="Times New Roman"/>
          <w:sz w:val="24"/>
          <w:szCs w:val="24"/>
          <w:lang w:val="en-CN"/>
        </w:rPr>
      </w:pPr>
      <w:r w:rsidRPr="008600A6">
        <w:rPr>
          <w:rFonts w:eastAsia="Times New Roman"/>
          <w:color w:val="000000"/>
          <w:lang w:val="en-CN"/>
        </w:rPr>
        <w:t xml:space="preserve">- HHS OCR — HIPAA &amp; Telehealth FAQs: </w:t>
      </w:r>
      <w:hyperlink r:id="rId15" w:history="1">
        <w:r w:rsidRPr="008600A6">
          <w:rPr>
            <w:rFonts w:eastAsia="Times New Roman"/>
            <w:color w:val="1155CC"/>
            <w:u w:val="single"/>
            <w:lang w:val="en-CN"/>
          </w:rPr>
          <w:t>https://www.hhs.gov/hipaa/for-professionals/special-topics/hipaa-and-telehealth/index.html</w:t>
        </w:r>
      </w:hyperlink>
    </w:p>
    <w:sectPr w:rsidR="00F2196D" w:rsidRPr="000B0F3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9A4B8C99-7050-884F-8460-E229DFEA95FB}"/>
    <w:embedBold r:id="rId2" w:fontKey="{B5A11EB4-8A01-C341-AF72-CAD7FD527360}"/>
    <w:embedItalic r:id="rId3" w:fontKey="{B1B79410-7B09-7847-9438-038D03C6477D}"/>
  </w:font>
  <w:font w:name="Times New Roman">
    <w:panose1 w:val="02020603050405020304"/>
    <w:charset w:val="00"/>
    <w:family w:val="roman"/>
    <w:pitch w:val="variable"/>
    <w:sig w:usb0="E0002EFF" w:usb1="C000785B" w:usb2="00000009" w:usb3="00000000" w:csb0="000001FF" w:csb1="00000000"/>
    <w:embedRegular r:id="rId4" w:fontKey="{F81BADD3-96F0-D545-B4DE-F3AC4EE76D2E}"/>
    <w:embedBold r:id="rId5" w:fontKey="{17AB20D9-28E2-E14B-9E05-1DED40CF2EA5}"/>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embedRegular r:id="rId6" w:fontKey="{5A4264F3-3294-1C45-B7B9-7186CA73B2C1}"/>
  </w:font>
  <w:font w:name="Cambria">
    <w:panose1 w:val="02040503050406030204"/>
    <w:charset w:val="00"/>
    <w:family w:val="roman"/>
    <w:notTrueType/>
    <w:pitch w:val="variable"/>
    <w:sig w:usb0="E00002FF" w:usb1="400004FF" w:usb2="00000000" w:usb3="00000000" w:csb0="0000019F" w:csb1="00000000"/>
    <w:embedRegular r:id="rId7" w:fontKey="{147E0A0D-F737-C345-88E9-CE2AA6E8E99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96D"/>
    <w:rsid w:val="000B0F36"/>
    <w:rsid w:val="008600A6"/>
    <w:rsid w:val="00F2196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62B64F"/>
  <w15:docId w15:val="{1907E274-DB10-FB4B-9771-0FD9F8A4E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8600A6"/>
    <w:pPr>
      <w:spacing w:before="100" w:beforeAutospacing="1" w:after="100" w:afterAutospacing="1" w:line="240" w:lineRule="auto"/>
    </w:pPr>
    <w:rPr>
      <w:rFonts w:ascii="Times New Roman" w:eastAsia="Times New Roman" w:hAnsi="Times New Roman" w:cs="Times New Roman"/>
      <w:sz w:val="24"/>
      <w:szCs w:val="24"/>
      <w:lang w:val="en-CN"/>
    </w:rPr>
  </w:style>
  <w:style w:type="character" w:styleId="Hyperlink">
    <w:name w:val="Hyperlink"/>
    <w:basedOn w:val="DefaultParagraphFont"/>
    <w:uiPriority w:val="99"/>
    <w:semiHidden/>
    <w:unhideWhenUsed/>
    <w:rsid w:val="008600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02050">
      <w:bodyDiv w:val="1"/>
      <w:marLeft w:val="0"/>
      <w:marRight w:val="0"/>
      <w:marTop w:val="0"/>
      <w:marBottom w:val="0"/>
      <w:divBdr>
        <w:top w:val="none" w:sz="0" w:space="0" w:color="auto"/>
        <w:left w:val="none" w:sz="0" w:space="0" w:color="auto"/>
        <w:bottom w:val="none" w:sz="0" w:space="0" w:color="auto"/>
        <w:right w:val="none" w:sz="0" w:space="0" w:color="auto"/>
      </w:divBdr>
    </w:div>
    <w:div w:id="962231873">
      <w:bodyDiv w:val="1"/>
      <w:marLeft w:val="0"/>
      <w:marRight w:val="0"/>
      <w:marTop w:val="0"/>
      <w:marBottom w:val="0"/>
      <w:divBdr>
        <w:top w:val="none" w:sz="0" w:space="0" w:color="auto"/>
        <w:left w:val="none" w:sz="0" w:space="0" w:color="auto"/>
        <w:bottom w:val="none" w:sz="0" w:space="0" w:color="auto"/>
        <w:right w:val="none" w:sz="0" w:space="0" w:color="auto"/>
      </w:divBdr>
    </w:div>
    <w:div w:id="1367949762">
      <w:bodyDiv w:val="1"/>
      <w:marLeft w:val="0"/>
      <w:marRight w:val="0"/>
      <w:marTop w:val="0"/>
      <w:marBottom w:val="0"/>
      <w:divBdr>
        <w:top w:val="none" w:sz="0" w:space="0" w:color="auto"/>
        <w:left w:val="none" w:sz="0" w:space="0" w:color="auto"/>
        <w:bottom w:val="none" w:sz="0" w:space="0" w:color="auto"/>
        <w:right w:val="none" w:sz="0" w:space="0" w:color="auto"/>
      </w:divBdr>
    </w:div>
    <w:div w:id="1386299875">
      <w:bodyDiv w:val="1"/>
      <w:marLeft w:val="0"/>
      <w:marRight w:val="0"/>
      <w:marTop w:val="0"/>
      <w:marBottom w:val="0"/>
      <w:divBdr>
        <w:top w:val="none" w:sz="0" w:space="0" w:color="auto"/>
        <w:left w:val="none" w:sz="0" w:space="0" w:color="auto"/>
        <w:bottom w:val="none" w:sz="0" w:space="0" w:color="auto"/>
        <w:right w:val="none" w:sz="0" w:space="0" w:color="auto"/>
      </w:divBdr>
    </w:div>
    <w:div w:id="1575626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hhs.gov/hipaa/for-professionals/breach-notification/index.html" TargetMode="External"/><Relationship Id="rId13" Type="http://schemas.openxmlformats.org/officeDocument/2006/relationships/hyperlink" Target="https://www.ecfr.gov/current/title-45/subtitle-A" TargetMode="External"/><Relationship Id="rId3" Type="http://schemas.openxmlformats.org/officeDocument/2006/relationships/webSettings" Target="webSettings.xml"/><Relationship Id="rId7" Type="http://schemas.openxmlformats.org/officeDocument/2006/relationships/hyperlink" Target="https://www.ecfr.gov/current/title-42/chapter-I/subchapter-A/part-2" TargetMode="External"/><Relationship Id="rId12" Type="http://schemas.openxmlformats.org/officeDocument/2006/relationships/hyperlink" Target="https://www.hhs.gov/hipaa/for-professionals/security/index.html"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hhs.gov/hipaa/for-professionals/security/index.html" TargetMode="External"/><Relationship Id="rId11" Type="http://schemas.openxmlformats.org/officeDocument/2006/relationships/hyperlink" Target="https://www.hhs.gov/hipaa/for-professionals/privacy/index.html" TargetMode="External"/><Relationship Id="rId5" Type="http://schemas.openxmlformats.org/officeDocument/2006/relationships/hyperlink" Target="https://www.ecfr.gov/current/title-45/subtitle-A" TargetMode="External"/><Relationship Id="rId15" Type="http://schemas.openxmlformats.org/officeDocument/2006/relationships/hyperlink" Target="https://www.hhs.gov/hipaa/for-professionals/special-topics/hipaa-and-telehealth/index.html" TargetMode="External"/><Relationship Id="rId10" Type="http://schemas.openxmlformats.org/officeDocument/2006/relationships/hyperlink" Target="https://www.hhs.gov/hipaa/for-professionals/index.html" TargetMode="External"/><Relationship Id="rId4" Type="http://schemas.openxmlformats.org/officeDocument/2006/relationships/hyperlink" Target="https://www.hhs.gov/hipaa/for-professionals/index.html" TargetMode="External"/><Relationship Id="rId9" Type="http://schemas.openxmlformats.org/officeDocument/2006/relationships/hyperlink" Target="https://www.hhs.gov/hipaa/for-professionals/special-topics/hipaa-and-telehealth/index.html" TargetMode="External"/><Relationship Id="rId14" Type="http://schemas.openxmlformats.org/officeDocument/2006/relationships/hyperlink" Target="https://www.ecfr.gov/current/title-42/chapter-I/subchapter-A/part-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Isaac Epstein</cp:lastModifiedBy>
  <cp:revision>3</cp:revision>
  <dcterms:created xsi:type="dcterms:W3CDTF">2026-05-19T16:47:00Z</dcterms:created>
  <dcterms:modified xsi:type="dcterms:W3CDTF">2026-05-19T17:31:00Z</dcterms:modified>
</cp:coreProperties>
</file>