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EF22E"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Title:</w:t>
      </w:r>
      <w:r w:rsidRPr="008600A6">
        <w:rPr>
          <w:rFonts w:eastAsia="Times New Roman"/>
          <w:color w:val="000000"/>
          <w:lang w:val="en-CN"/>
        </w:rPr>
        <w:t xml:space="preserve"> Disaster Preparedness: Essentials</w:t>
      </w:r>
    </w:p>
    <w:p w14:paraId="204D90BA"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5AB5E405"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Audience: </w:t>
      </w:r>
      <w:r w:rsidRPr="008600A6">
        <w:rPr>
          <w:rFonts w:eastAsia="Times New Roman"/>
          <w:color w:val="000000"/>
          <w:lang w:val="en-CN"/>
        </w:rPr>
        <w:t>Licensed clinical providers at treatment centers (completion for compliance)</w:t>
      </w:r>
    </w:p>
    <w:p w14:paraId="0EF9735A"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Format:</w:t>
      </w:r>
      <w:r w:rsidRPr="008600A6">
        <w:rPr>
          <w:rFonts w:eastAsia="Times New Roman"/>
          <w:color w:val="000000"/>
          <w:lang w:val="en-CN"/>
        </w:rPr>
        <w:t xml:space="preserve"> Self-paced microlearning with 4 interactive activities and a short post-test</w:t>
      </w:r>
    </w:p>
    <w:p w14:paraId="12CB0DE1"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Total length: </w:t>
      </w:r>
      <w:r w:rsidRPr="008600A6">
        <w:rPr>
          <w:rFonts w:eastAsia="Times New Roman"/>
          <w:color w:val="000000"/>
          <w:lang w:val="en-CN"/>
        </w:rPr>
        <w:t>30 minutes</w:t>
      </w:r>
    </w:p>
    <w:p w14:paraId="12E01D79"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3AD76F4B"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Written Content:</w:t>
      </w:r>
    </w:p>
    <w:p w14:paraId="75D55CE5"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Disaster preparedness in clinical practice means planning to protect patients, staff, and essential services so care can continue during and after emergencies (natural, technological, or public-health). Key elements include knowing your facility’s Incident Command System/chain of command, your role in the Continuity of Operations Plan (COOP), location of emergency supplies and evacuation/shelter-in-place procedures, and contact lists for on</w:t>
      </w:r>
      <w:r w:rsidRPr="008600A6">
        <w:rPr>
          <w:rFonts w:eastAsia="Times New Roman"/>
          <w:color w:val="000000"/>
          <w:lang w:val="en-CN"/>
        </w:rPr>
        <w:noBreakHyphen/>
        <w:t xml:space="preserve">call leadership and community partners. Regular participation in drills and quick reference checklists improves speed and coordination during real events. (FEMA, HHS ASPR) — https://www.fema.gov ; </w:t>
      </w:r>
      <w:hyperlink r:id="rId4" w:history="1">
        <w:r w:rsidRPr="008600A6">
          <w:rPr>
            <w:rFonts w:eastAsia="Times New Roman"/>
            <w:color w:val="1155CC"/>
            <w:u w:val="single"/>
            <w:lang w:val="en-CN"/>
          </w:rPr>
          <w:t>https://www.phe.gov/Preparedness</w:t>
        </w:r>
      </w:hyperlink>
      <w:r w:rsidRPr="008600A6">
        <w:rPr>
          <w:rFonts w:eastAsia="Times New Roman"/>
          <w:color w:val="000000"/>
          <w:lang w:val="en-CN"/>
        </w:rPr>
        <w:t> </w:t>
      </w:r>
    </w:p>
    <w:p w14:paraId="1559B66E"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2DB8498B"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Clinically, prioritize patient safety and continuity of care: identify and triage high</w:t>
      </w:r>
      <w:r w:rsidRPr="008600A6">
        <w:rPr>
          <w:rFonts w:eastAsia="Times New Roman"/>
          <w:color w:val="000000"/>
          <w:lang w:val="en-CN"/>
        </w:rPr>
        <w:noBreakHyphen/>
        <w:t>risk patients (medication</w:t>
      </w:r>
      <w:r w:rsidRPr="008600A6">
        <w:rPr>
          <w:rFonts w:eastAsia="Times New Roman"/>
          <w:color w:val="000000"/>
          <w:lang w:val="en-CN"/>
        </w:rPr>
        <w:noBreakHyphen/>
        <w:t>dependent, mobility-limited, behavioral</w:t>
      </w:r>
      <w:r w:rsidRPr="008600A6">
        <w:rPr>
          <w:rFonts w:eastAsia="Times New Roman"/>
          <w:color w:val="000000"/>
          <w:lang w:val="en-CN"/>
        </w:rPr>
        <w:noBreakHyphen/>
        <w:t>health crises), ensure medication continuity and secure storage (e.g., temperature</w:t>
      </w:r>
      <w:r w:rsidRPr="008600A6">
        <w:rPr>
          <w:rFonts w:eastAsia="Times New Roman"/>
          <w:color w:val="000000"/>
          <w:lang w:val="en-CN"/>
        </w:rPr>
        <w:noBreakHyphen/>
        <w:t>sensitive meds), and use rapid documentation tools (paper grab</w:t>
      </w:r>
      <w:r w:rsidRPr="008600A6">
        <w:rPr>
          <w:rFonts w:eastAsia="Times New Roman"/>
          <w:color w:val="000000"/>
          <w:lang w:val="en-CN"/>
        </w:rPr>
        <w:noBreakHyphen/>
        <w:t>and</w:t>
      </w:r>
      <w:r w:rsidRPr="008600A6">
        <w:rPr>
          <w:rFonts w:eastAsia="Times New Roman"/>
          <w:color w:val="000000"/>
          <w:lang w:val="en-CN"/>
        </w:rPr>
        <w:noBreakHyphen/>
        <w:t xml:space="preserve">go forms with ID, meds, allergies). Communicate clearly with patients and families about changes in service delivery (telehealth, alternate sites) and maintain confidentiality and appropriate sharing of information per privacy rules during emergencies. (CDC, The Joint Commission) — https://www.cdc.gov/cpr ; </w:t>
      </w:r>
      <w:hyperlink r:id="rId5" w:history="1">
        <w:r w:rsidRPr="008600A6">
          <w:rPr>
            <w:rFonts w:eastAsia="Times New Roman"/>
            <w:color w:val="1155CC"/>
            <w:u w:val="single"/>
            <w:lang w:val="en-CN"/>
          </w:rPr>
          <w:t>https://www.jointcommission.org</w:t>
        </w:r>
      </w:hyperlink>
      <w:r w:rsidRPr="008600A6">
        <w:rPr>
          <w:rFonts w:eastAsia="Times New Roman"/>
          <w:color w:val="000000"/>
          <w:lang w:val="en-CN"/>
        </w:rPr>
        <w:t> </w:t>
      </w:r>
    </w:p>
    <w:p w14:paraId="11EA1A16"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5CF7877F"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When incidents occur, activate the COOP/incident command, follow containment and safety protocols, document all decisions, and notify your designated leadership/incident command and relevant external agencies. Report critical issues (breaches, security threats, facility damage) promptly and coordinate with local emergency management, public health, and behavioral</w:t>
      </w:r>
      <w:r w:rsidRPr="008600A6">
        <w:rPr>
          <w:rFonts w:eastAsia="Times New Roman"/>
          <w:color w:val="000000"/>
          <w:lang w:val="en-CN"/>
        </w:rPr>
        <w:noBreakHyphen/>
        <w:t xml:space="preserve">health recovery resources for patient transfer, sheltering, or resource needs. After-action review and updating plans based on lessons learned (including supply inventories, communication gaps, and staff training) are essential to improving preparedness. (SAMHSA, FEMA) — </w:t>
      </w:r>
      <w:hyperlink r:id="rId6" w:history="1">
        <w:r w:rsidRPr="008600A6">
          <w:rPr>
            <w:rFonts w:eastAsia="Times New Roman"/>
            <w:color w:val="1155CC"/>
            <w:u w:val="single"/>
            <w:lang w:val="en-CN"/>
          </w:rPr>
          <w:t>https://www.samhsa.gov/disaster-preparedness</w:t>
        </w:r>
      </w:hyperlink>
      <w:r w:rsidRPr="008600A6">
        <w:rPr>
          <w:rFonts w:eastAsia="Times New Roman"/>
          <w:color w:val="000000"/>
          <w:lang w:val="en-CN"/>
        </w:rPr>
        <w:t xml:space="preserve">;  </w:t>
      </w:r>
      <w:hyperlink r:id="rId7" w:history="1">
        <w:r w:rsidRPr="008600A6">
          <w:rPr>
            <w:rFonts w:eastAsia="Times New Roman"/>
            <w:color w:val="1155CC"/>
            <w:u w:val="single"/>
            <w:lang w:val="en-CN"/>
          </w:rPr>
          <w:t>https://www.fema.gov/emergency-managers/national-preparedness-division</w:t>
        </w:r>
      </w:hyperlink>
      <w:r w:rsidRPr="008600A6">
        <w:rPr>
          <w:rFonts w:eastAsia="Times New Roman"/>
          <w:color w:val="000000"/>
          <w:lang w:val="en-CN"/>
        </w:rPr>
        <w:t> </w:t>
      </w:r>
    </w:p>
    <w:p w14:paraId="1F15F43F"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2520007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Suggested resources / citations (include on course resource page)</w:t>
      </w:r>
    </w:p>
    <w:p w14:paraId="57BEB5BD"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FEMA — Emergency Management Institute and preparedness guidance: </w:t>
      </w:r>
      <w:hyperlink r:id="rId8" w:history="1">
        <w:r w:rsidRPr="008600A6">
          <w:rPr>
            <w:rFonts w:eastAsia="Times New Roman"/>
            <w:color w:val="1155CC"/>
            <w:u w:val="single"/>
            <w:lang w:val="en-CN"/>
          </w:rPr>
          <w:t>https://www.fema.gov</w:t>
        </w:r>
      </w:hyperlink>
      <w:r w:rsidRPr="008600A6">
        <w:rPr>
          <w:rFonts w:eastAsia="Times New Roman"/>
          <w:color w:val="000000"/>
          <w:lang w:val="en-CN"/>
        </w:rPr>
        <w:t>   </w:t>
      </w:r>
    </w:p>
    <w:p w14:paraId="4A4EEBB3"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HHS ASPR — Health Care Preparedness and Response: </w:t>
      </w:r>
      <w:hyperlink r:id="rId9" w:history="1">
        <w:r w:rsidRPr="008600A6">
          <w:rPr>
            <w:rFonts w:eastAsia="Times New Roman"/>
            <w:color w:val="1155CC"/>
            <w:u w:val="single"/>
            <w:lang w:val="en-CN"/>
          </w:rPr>
          <w:t>https://www.phe.gov/Preparedness/Pages/default.aspx</w:t>
        </w:r>
      </w:hyperlink>
      <w:r w:rsidRPr="008600A6">
        <w:rPr>
          <w:rFonts w:eastAsia="Times New Roman"/>
          <w:color w:val="000000"/>
          <w:lang w:val="en-CN"/>
        </w:rPr>
        <w:t>   </w:t>
      </w:r>
    </w:p>
    <w:p w14:paraId="50B51C46"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CDC — Emergency Preparedness and Response (healthcare-specific resources): </w:t>
      </w:r>
      <w:hyperlink r:id="rId10" w:history="1">
        <w:r w:rsidRPr="008600A6">
          <w:rPr>
            <w:rFonts w:eastAsia="Times New Roman"/>
            <w:color w:val="1155CC"/>
            <w:u w:val="single"/>
            <w:lang w:val="en-CN"/>
          </w:rPr>
          <w:t>https://www.cdc.gov/cpr/index.htm</w:t>
        </w:r>
      </w:hyperlink>
      <w:r w:rsidRPr="008600A6">
        <w:rPr>
          <w:rFonts w:eastAsia="Times New Roman"/>
          <w:color w:val="000000"/>
          <w:lang w:val="en-CN"/>
        </w:rPr>
        <w:t>   </w:t>
      </w:r>
    </w:p>
    <w:p w14:paraId="4F0A98FF"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CDC — Healthcare Facility Emergency Preparedness Checklist: </w:t>
      </w:r>
      <w:hyperlink r:id="rId11" w:history="1">
        <w:r w:rsidRPr="008600A6">
          <w:rPr>
            <w:rFonts w:eastAsia="Times New Roman"/>
            <w:color w:val="1155CC"/>
            <w:u w:val="single"/>
            <w:lang w:val="en-CN"/>
          </w:rPr>
          <w:t>https://www.cdc.gov/cpr/readiness/healthcare.htm</w:t>
        </w:r>
      </w:hyperlink>
      <w:r w:rsidRPr="008600A6">
        <w:rPr>
          <w:rFonts w:eastAsia="Times New Roman"/>
          <w:color w:val="000000"/>
          <w:lang w:val="en-CN"/>
        </w:rPr>
        <w:t>   </w:t>
      </w:r>
    </w:p>
    <w:p w14:paraId="649C5A3B"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The Joint Commission — Emergency Management Standards and Resources: </w:t>
      </w:r>
      <w:hyperlink r:id="rId12" w:history="1">
        <w:r w:rsidRPr="008600A6">
          <w:rPr>
            <w:rFonts w:eastAsia="Times New Roman"/>
            <w:color w:val="1155CC"/>
            <w:u w:val="single"/>
            <w:lang w:val="en-CN"/>
          </w:rPr>
          <w:t>https://www.jointcommission.org/topics/disaster-preparedness/</w:t>
        </w:r>
      </w:hyperlink>
      <w:r w:rsidRPr="008600A6">
        <w:rPr>
          <w:rFonts w:eastAsia="Times New Roman"/>
          <w:color w:val="000000"/>
          <w:lang w:val="en-CN"/>
        </w:rPr>
        <w:t>   </w:t>
      </w:r>
    </w:p>
    <w:p w14:paraId="5D3E8357"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SAMHSA — Disaster Behavioral Health and Behavioral Health Recovery Resources: </w:t>
      </w:r>
      <w:hyperlink r:id="rId13" w:history="1">
        <w:r w:rsidRPr="008600A6">
          <w:rPr>
            <w:rFonts w:eastAsia="Times New Roman"/>
            <w:color w:val="1155CC"/>
            <w:u w:val="single"/>
            <w:lang w:val="en-CN"/>
          </w:rPr>
          <w:t>https://www.samhsa.gov/disaster-preparedness</w:t>
        </w:r>
      </w:hyperlink>
      <w:r w:rsidRPr="008600A6">
        <w:rPr>
          <w:rFonts w:eastAsia="Times New Roman"/>
          <w:color w:val="000000"/>
          <w:lang w:val="en-CN"/>
        </w:rPr>
        <w:t>   </w:t>
      </w:r>
    </w:p>
    <w:p w14:paraId="42418EC0"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5C6D5B2C" w14:textId="77777777" w:rsidR="00F2196D" w:rsidRPr="008600A6" w:rsidRDefault="00F2196D" w:rsidP="008600A6">
      <w:pPr>
        <w:rPr>
          <w:lang w:val="en-CN"/>
        </w:rPr>
      </w:pPr>
    </w:p>
    <w:sectPr w:rsidR="00F2196D" w:rsidRPr="008600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93C4C8A0-1306-804D-AE04-1ACFC9B56AD7}"/>
    <w:embedBold r:id="rId2" w:fontKey="{F1240EEB-9A02-3D4E-A29C-72FD099C8C96}"/>
    <w:embedItalic r:id="rId3" w:fontKey="{8DE44AE5-3547-C94F-8791-B221AF509E51}"/>
  </w:font>
  <w:font w:name="Times New Roman">
    <w:panose1 w:val="02020603050405020304"/>
    <w:charset w:val="00"/>
    <w:family w:val="roman"/>
    <w:pitch w:val="variable"/>
    <w:sig w:usb0="E0002EFF" w:usb1="C000785B" w:usb2="00000009" w:usb3="00000000" w:csb0="000001FF" w:csb1="00000000"/>
    <w:embedRegular r:id="rId4" w:fontKey="{245AC182-4F7C-B345-BADA-4102582EC723}"/>
    <w:embedBold r:id="rId5" w:fontKey="{BD543E74-CF1F-F844-AF62-B35B719247CA}"/>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embedRegular r:id="rId6" w:fontKey="{648611E1-9923-484A-9917-8ABAD762736A}"/>
  </w:font>
  <w:font w:name="Cambria">
    <w:panose1 w:val="02040503050406030204"/>
    <w:charset w:val="00"/>
    <w:family w:val="roman"/>
    <w:notTrueType/>
    <w:pitch w:val="variable"/>
    <w:sig w:usb0="E00002FF" w:usb1="400004FF" w:usb2="00000000" w:usb3="00000000" w:csb0="0000019F" w:csb1="00000000"/>
    <w:embedRegular r:id="rId7" w:fontKey="{DA8FC3A3-0264-9745-B845-6E6C0947DD3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96D"/>
    <w:rsid w:val="008600A6"/>
    <w:rsid w:val="00A926D7"/>
    <w:rsid w:val="00F2196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62B64F"/>
  <w15:docId w15:val="{1907E274-DB10-FB4B-9771-0FD9F8A4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8600A6"/>
    <w:pPr>
      <w:spacing w:before="100" w:beforeAutospacing="1" w:after="100" w:afterAutospacing="1" w:line="240" w:lineRule="auto"/>
    </w:pPr>
    <w:rPr>
      <w:rFonts w:ascii="Times New Roman" w:eastAsia="Times New Roman" w:hAnsi="Times New Roman" w:cs="Times New Roman"/>
      <w:sz w:val="24"/>
      <w:szCs w:val="24"/>
      <w:lang w:val="en-CN"/>
    </w:rPr>
  </w:style>
  <w:style w:type="character" w:styleId="Hyperlink">
    <w:name w:val="Hyperlink"/>
    <w:basedOn w:val="DefaultParagraphFont"/>
    <w:uiPriority w:val="99"/>
    <w:semiHidden/>
    <w:unhideWhenUsed/>
    <w:rsid w:val="008600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02050">
      <w:bodyDiv w:val="1"/>
      <w:marLeft w:val="0"/>
      <w:marRight w:val="0"/>
      <w:marTop w:val="0"/>
      <w:marBottom w:val="0"/>
      <w:divBdr>
        <w:top w:val="none" w:sz="0" w:space="0" w:color="auto"/>
        <w:left w:val="none" w:sz="0" w:space="0" w:color="auto"/>
        <w:bottom w:val="none" w:sz="0" w:space="0" w:color="auto"/>
        <w:right w:val="none" w:sz="0" w:space="0" w:color="auto"/>
      </w:divBdr>
    </w:div>
    <w:div w:id="962231873">
      <w:bodyDiv w:val="1"/>
      <w:marLeft w:val="0"/>
      <w:marRight w:val="0"/>
      <w:marTop w:val="0"/>
      <w:marBottom w:val="0"/>
      <w:divBdr>
        <w:top w:val="none" w:sz="0" w:space="0" w:color="auto"/>
        <w:left w:val="none" w:sz="0" w:space="0" w:color="auto"/>
        <w:bottom w:val="none" w:sz="0" w:space="0" w:color="auto"/>
        <w:right w:val="none" w:sz="0" w:space="0" w:color="auto"/>
      </w:divBdr>
    </w:div>
    <w:div w:id="1367949762">
      <w:bodyDiv w:val="1"/>
      <w:marLeft w:val="0"/>
      <w:marRight w:val="0"/>
      <w:marTop w:val="0"/>
      <w:marBottom w:val="0"/>
      <w:divBdr>
        <w:top w:val="none" w:sz="0" w:space="0" w:color="auto"/>
        <w:left w:val="none" w:sz="0" w:space="0" w:color="auto"/>
        <w:bottom w:val="none" w:sz="0" w:space="0" w:color="auto"/>
        <w:right w:val="none" w:sz="0" w:space="0" w:color="auto"/>
      </w:divBdr>
    </w:div>
    <w:div w:id="1386299875">
      <w:bodyDiv w:val="1"/>
      <w:marLeft w:val="0"/>
      <w:marRight w:val="0"/>
      <w:marTop w:val="0"/>
      <w:marBottom w:val="0"/>
      <w:divBdr>
        <w:top w:val="none" w:sz="0" w:space="0" w:color="auto"/>
        <w:left w:val="none" w:sz="0" w:space="0" w:color="auto"/>
        <w:bottom w:val="none" w:sz="0" w:space="0" w:color="auto"/>
        <w:right w:val="none" w:sz="0" w:space="0" w:color="auto"/>
      </w:divBdr>
    </w:div>
    <w:div w:id="1575626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ema.gov" TargetMode="External"/><Relationship Id="rId13" Type="http://schemas.openxmlformats.org/officeDocument/2006/relationships/hyperlink" Target="https://www.samhsa.gov/disaster-preparedness" TargetMode="External"/><Relationship Id="rId3" Type="http://schemas.openxmlformats.org/officeDocument/2006/relationships/webSettings" Target="webSettings.xml"/><Relationship Id="rId7" Type="http://schemas.openxmlformats.org/officeDocument/2006/relationships/hyperlink" Target="https://www.fema.gov/emergency-managers/national-preparedness-division" TargetMode="External"/><Relationship Id="rId12" Type="http://schemas.openxmlformats.org/officeDocument/2006/relationships/hyperlink" Target="https://www.jointcommission.org/topics/disaster-preparednes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amhsa.gov/disaster-preparedness" TargetMode="External"/><Relationship Id="rId11" Type="http://schemas.openxmlformats.org/officeDocument/2006/relationships/hyperlink" Target="https://www.cdc.gov/cpr/readiness/healthcare.htm" TargetMode="External"/><Relationship Id="rId5" Type="http://schemas.openxmlformats.org/officeDocument/2006/relationships/hyperlink" Target="https://www.jointcommission.org" TargetMode="External"/><Relationship Id="rId15" Type="http://schemas.openxmlformats.org/officeDocument/2006/relationships/theme" Target="theme/theme1.xml"/><Relationship Id="rId10" Type="http://schemas.openxmlformats.org/officeDocument/2006/relationships/hyperlink" Target="https://www.cdc.gov/cpr/index.htm" TargetMode="External"/><Relationship Id="rId4" Type="http://schemas.openxmlformats.org/officeDocument/2006/relationships/hyperlink" Target="https://www.phe.gov/Preparedness" TargetMode="External"/><Relationship Id="rId9" Type="http://schemas.openxmlformats.org/officeDocument/2006/relationships/hyperlink" Target="https://www.phe.gov/Preparedness/Pages/default.aspx"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550</Words>
  <Characters>3140</Characters>
  <Application>Microsoft Office Word</Application>
  <DocSecurity>0</DocSecurity>
  <Lines>26</Lines>
  <Paragraphs>7</Paragraphs>
  <ScaleCrop>false</ScaleCrop>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Isaac Epstein</cp:lastModifiedBy>
  <cp:revision>3</cp:revision>
  <dcterms:created xsi:type="dcterms:W3CDTF">2026-05-19T16:47:00Z</dcterms:created>
  <dcterms:modified xsi:type="dcterms:W3CDTF">2026-05-19T17:32:00Z</dcterms:modified>
</cp:coreProperties>
</file>