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21CFE" w14:textId="356567CA"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Title:</w:t>
      </w:r>
      <w:r w:rsidRPr="008600A6">
        <w:rPr>
          <w:rFonts w:eastAsia="Times New Roman"/>
          <w:color w:val="000000"/>
          <w:lang w:val="en-CN"/>
        </w:rPr>
        <w:t xml:space="preserve"> Sexual Harassment: What Employees Need to Know</w:t>
      </w:r>
    </w:p>
    <w:p w14:paraId="267F1B96"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7551FEC3"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Audience: </w:t>
      </w:r>
      <w:r w:rsidRPr="008600A6">
        <w:rPr>
          <w:rFonts w:eastAsia="Times New Roman"/>
          <w:color w:val="000000"/>
          <w:lang w:val="en-CN"/>
        </w:rPr>
        <w:t>Licensed clinical providers at treatment centers (completion for compliance)</w:t>
      </w:r>
    </w:p>
    <w:p w14:paraId="65A784A9"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Format:</w:t>
      </w:r>
      <w:r w:rsidRPr="008600A6">
        <w:rPr>
          <w:rFonts w:eastAsia="Times New Roman"/>
          <w:color w:val="000000"/>
          <w:lang w:val="en-CN"/>
        </w:rPr>
        <w:t xml:space="preserve"> Self-paced microlearning with 4 interactive activities and a short post-test</w:t>
      </w:r>
    </w:p>
    <w:p w14:paraId="6699311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Total length: </w:t>
      </w:r>
      <w:r w:rsidRPr="008600A6">
        <w:rPr>
          <w:rFonts w:eastAsia="Times New Roman"/>
          <w:color w:val="000000"/>
          <w:lang w:val="en-CN"/>
        </w:rPr>
        <w:t>30 minutes</w:t>
      </w:r>
    </w:p>
    <w:p w14:paraId="1DFE310E"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3BACA1C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Written Content:</w:t>
      </w:r>
    </w:p>
    <w:p w14:paraId="68C82CC2"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Sexual harassment in clinical practice includes unwelcome sexual advances, requests for sexual favors, or other verbal or physical conduct of a sexual nature that creates a hostile work environment or affects employment or care. It can occur staff-to-staff, supervisor-to-staff (quid pro quo), patient-to-staff, or patient-to-patient; all are actionable when they interfere with safety, job performance, or the therapeutic environment. Recognize both quid pro quo (employment decisions conditioned on sexual favors) and hostile</w:t>
      </w:r>
      <w:r w:rsidRPr="008600A6">
        <w:rPr>
          <w:rFonts w:eastAsia="Times New Roman"/>
          <w:color w:val="000000"/>
          <w:lang w:val="en-CN"/>
        </w:rPr>
        <w:noBreakHyphen/>
        <w:t>work</w:t>
      </w:r>
      <w:r w:rsidRPr="008600A6">
        <w:rPr>
          <w:rFonts w:eastAsia="Times New Roman"/>
          <w:color w:val="000000"/>
          <w:lang w:val="en-CN"/>
        </w:rPr>
        <w:noBreakHyphen/>
        <w:t xml:space="preserve">environment harassment (pervasive or severe conduct that creates intimidating, hostile, or offensive conditions). (EEOC guidance) — </w:t>
      </w:r>
      <w:hyperlink r:id="rId4" w:history="1">
        <w:r w:rsidRPr="008600A6">
          <w:rPr>
            <w:rFonts w:eastAsia="Times New Roman"/>
            <w:color w:val="1155CC"/>
            <w:u w:val="single"/>
            <w:lang w:val="en-CN"/>
          </w:rPr>
          <w:t>https://www.eeoc.gov/sexual-harassment</w:t>
        </w:r>
      </w:hyperlink>
      <w:r w:rsidRPr="008600A6">
        <w:rPr>
          <w:rFonts w:eastAsia="Times New Roman"/>
          <w:color w:val="000000"/>
          <w:lang w:val="en-CN"/>
        </w:rPr>
        <w:t> </w:t>
      </w:r>
    </w:p>
    <w:p w14:paraId="6269EEE8"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14FF31B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Best practices for clinicians: set and communicate clear professional boundaries with patients and colleagues; document any incidents factually (who, what, when, where, witnesses); preserve evidence (messages, notes); and prioritize safety for all involved. Follow your organization’s reporting procedures promptly. Reports should be made to HR, compliance, or the designated contact. Ensure patients who are involved receive appropriate clinical support and safety planning. Distinguish mandatory reporting obligations (e.g., abuse of vulnerable persons) from workplace/HR reporting and consult institutional policy when both apply. (EEOC; OSHA; SAMHSA workplace safety resources) — https://www.eeoc.gov; https://www.osha.gov; </w:t>
      </w:r>
      <w:hyperlink r:id="rId5" w:history="1">
        <w:r w:rsidRPr="008600A6">
          <w:rPr>
            <w:rFonts w:eastAsia="Times New Roman"/>
            <w:color w:val="1155CC"/>
            <w:u w:val="single"/>
            <w:lang w:val="en-CN"/>
          </w:rPr>
          <w:t>https://www.samhsa.gov</w:t>
        </w:r>
      </w:hyperlink>
      <w:r w:rsidRPr="008600A6">
        <w:rPr>
          <w:rFonts w:eastAsia="Times New Roman"/>
          <w:color w:val="000000"/>
          <w:lang w:val="en-CN"/>
        </w:rPr>
        <w:t> </w:t>
      </w:r>
    </w:p>
    <w:p w14:paraId="1D2327DA"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68BC9F06"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Employers must investigate complaints objectively, protect reporters from retaliation, and take corrective action when warranted; clinicians should feel empowered to report without fear of adverse treatment. If unsure, seek guidance from HR, legal, or employee</w:t>
      </w:r>
      <w:r w:rsidRPr="008600A6">
        <w:rPr>
          <w:rFonts w:eastAsia="Times New Roman"/>
          <w:color w:val="000000"/>
          <w:lang w:val="en-CN"/>
        </w:rPr>
        <w:noBreakHyphen/>
        <w:t>assistance/EAP resources; escalate immediately if there is an imminent safety risk. Regular training, clear policies, confidential reporting options, and post</w:t>
      </w:r>
      <w:r w:rsidRPr="008600A6">
        <w:rPr>
          <w:rFonts w:eastAsia="Times New Roman"/>
          <w:color w:val="000000"/>
          <w:lang w:val="en-CN"/>
        </w:rPr>
        <w:noBreakHyphen/>
        <w:t xml:space="preserve">incident support improve safety and trust in clinical settings. (EEOC enforcement guidance; OSHA workplace violence resources) — </w:t>
      </w:r>
      <w:hyperlink r:id="rId6" w:history="1">
        <w:r w:rsidRPr="008600A6">
          <w:rPr>
            <w:rFonts w:eastAsia="Times New Roman"/>
            <w:color w:val="1155CC"/>
            <w:u w:val="single"/>
            <w:lang w:val="en-CN"/>
          </w:rPr>
          <w:t>https://www.eeoc.gov/laws/guidance/enforcement-guidance-harassment-workplace</w:t>
        </w:r>
      </w:hyperlink>
      <w:r w:rsidRPr="008600A6">
        <w:rPr>
          <w:rFonts w:eastAsia="Times New Roman"/>
          <w:color w:val="000000"/>
          <w:lang w:val="en-CN"/>
        </w:rPr>
        <w:t xml:space="preserve">;  </w:t>
      </w:r>
      <w:hyperlink r:id="rId7" w:history="1">
        <w:r w:rsidRPr="008600A6">
          <w:rPr>
            <w:rFonts w:eastAsia="Times New Roman"/>
            <w:color w:val="1155CC"/>
            <w:u w:val="single"/>
            <w:lang w:val="en-CN"/>
          </w:rPr>
          <w:t>https://www.osha.gov/workplace-violence</w:t>
        </w:r>
      </w:hyperlink>
      <w:r w:rsidRPr="008600A6">
        <w:rPr>
          <w:rFonts w:eastAsia="Times New Roman"/>
          <w:color w:val="000000"/>
          <w:lang w:val="en-CN"/>
        </w:rPr>
        <w:t> </w:t>
      </w:r>
    </w:p>
    <w:p w14:paraId="272D984D"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0564BC05"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048DBE9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Suggested resources / citations (include on resource page)</w:t>
      </w:r>
    </w:p>
    <w:p w14:paraId="4CD69315"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U.S. Equal Employment Opportunity Commission (EEOC) — Sexual Harassment Guidance and Fact Sheets: </w:t>
      </w:r>
      <w:hyperlink r:id="rId8" w:history="1">
        <w:r w:rsidRPr="008600A6">
          <w:rPr>
            <w:rFonts w:eastAsia="Times New Roman"/>
            <w:color w:val="1155CC"/>
            <w:u w:val="single"/>
            <w:lang w:val="en-CN"/>
          </w:rPr>
          <w:t>https://www.eeoc.gov/sexual-harassment</w:t>
        </w:r>
      </w:hyperlink>
      <w:r w:rsidRPr="008600A6">
        <w:rPr>
          <w:rFonts w:eastAsia="Times New Roman"/>
          <w:color w:val="000000"/>
          <w:lang w:val="en-CN"/>
        </w:rPr>
        <w:t> </w:t>
      </w:r>
    </w:p>
    <w:p w14:paraId="5ED564B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EEOC Enforcement Guidance on Harassment in the Workplace: </w:t>
      </w:r>
      <w:hyperlink r:id="rId9" w:history="1">
        <w:r w:rsidRPr="008600A6">
          <w:rPr>
            <w:rFonts w:eastAsia="Times New Roman"/>
            <w:color w:val="1155CC"/>
            <w:u w:val="single"/>
            <w:lang w:val="en-CN"/>
          </w:rPr>
          <w:t>https://www.eeoc.gov/laws/guidance/enforcement-guidance-harassment-workplace</w:t>
        </w:r>
      </w:hyperlink>
      <w:r w:rsidRPr="008600A6">
        <w:rPr>
          <w:rFonts w:eastAsia="Times New Roman"/>
          <w:color w:val="000000"/>
          <w:lang w:val="en-CN"/>
        </w:rPr>
        <w:t> </w:t>
      </w:r>
    </w:p>
    <w:p w14:paraId="3B86BE3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Occupational Safety and Health Administration (OSHA) — Workplace Violence: </w:t>
      </w:r>
      <w:hyperlink r:id="rId10" w:history="1">
        <w:r w:rsidRPr="008600A6">
          <w:rPr>
            <w:rFonts w:eastAsia="Times New Roman"/>
            <w:color w:val="1155CC"/>
            <w:u w:val="single"/>
            <w:lang w:val="en-CN"/>
          </w:rPr>
          <w:t>https://www.osha.gov/workplace-violence</w:t>
        </w:r>
      </w:hyperlink>
      <w:r w:rsidRPr="008600A6">
        <w:rPr>
          <w:rFonts w:eastAsia="Times New Roman"/>
          <w:color w:val="000000"/>
          <w:lang w:val="en-CN"/>
        </w:rPr>
        <w:t> </w:t>
      </w:r>
    </w:p>
    <w:p w14:paraId="3B3D159C"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National Institute for Occupational Safety and Health (NIOSH) — Workplace Violence Prevention for Healthcare Workers: </w:t>
      </w:r>
      <w:hyperlink r:id="rId11" w:history="1">
        <w:r w:rsidRPr="008600A6">
          <w:rPr>
            <w:rFonts w:eastAsia="Times New Roman"/>
            <w:color w:val="1155CC"/>
            <w:u w:val="single"/>
            <w:lang w:val="en-CN"/>
          </w:rPr>
          <w:t>https://www.cdc.gov/niosh/topics/violence/</w:t>
        </w:r>
      </w:hyperlink>
      <w:r w:rsidRPr="008600A6">
        <w:rPr>
          <w:rFonts w:eastAsia="Times New Roman"/>
          <w:color w:val="000000"/>
          <w:lang w:val="en-CN"/>
        </w:rPr>
        <w:t> </w:t>
      </w:r>
    </w:p>
    <w:p w14:paraId="3172C74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SAMHSA — Guidance on workplace safety and behavioral health settings (for patient-related incidents): </w:t>
      </w:r>
      <w:hyperlink r:id="rId12" w:history="1">
        <w:r w:rsidRPr="008600A6">
          <w:rPr>
            <w:rFonts w:eastAsia="Times New Roman"/>
            <w:color w:val="1155CC"/>
            <w:u w:val="single"/>
            <w:lang w:val="en-CN"/>
          </w:rPr>
          <w:t>https://www.samhsa.gov/</w:t>
        </w:r>
      </w:hyperlink>
      <w:r w:rsidRPr="008600A6">
        <w:rPr>
          <w:rFonts w:eastAsia="Times New Roman"/>
          <w:color w:val="000000"/>
          <w:lang w:val="en-CN"/>
        </w:rPr>
        <w:t> </w:t>
      </w:r>
    </w:p>
    <w:p w14:paraId="1B53E52F" w14:textId="77777777" w:rsidR="008600A6" w:rsidRPr="008600A6" w:rsidRDefault="008600A6" w:rsidP="008600A6">
      <w:pPr>
        <w:spacing w:after="240" w:line="240" w:lineRule="auto"/>
        <w:rPr>
          <w:rFonts w:ascii="Times New Roman" w:eastAsia="Times New Roman" w:hAnsi="Times New Roman" w:cs="Times New Roman"/>
          <w:sz w:val="24"/>
          <w:szCs w:val="24"/>
          <w:lang w:val="en-CN"/>
        </w:rPr>
      </w:pPr>
      <w:r w:rsidRPr="008600A6">
        <w:rPr>
          <w:rFonts w:ascii="Times New Roman" w:eastAsia="Times New Roman" w:hAnsi="Times New Roman" w:cs="Times New Roman"/>
          <w:sz w:val="24"/>
          <w:szCs w:val="24"/>
          <w:lang w:val="en-CN"/>
        </w:rPr>
        <w:br/>
      </w:r>
    </w:p>
    <w:p w14:paraId="7C8BEF3F"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5C6D5B2C" w14:textId="77777777" w:rsidR="00F2196D" w:rsidRPr="008600A6" w:rsidRDefault="00F2196D" w:rsidP="008600A6">
      <w:pPr>
        <w:rPr>
          <w:lang w:val="en-CN"/>
        </w:rPr>
      </w:pPr>
    </w:p>
    <w:sectPr w:rsidR="00F2196D" w:rsidRPr="008600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D0F6D96F-5DAF-334C-AE24-A1D613BAB0EC}"/>
    <w:embedBold r:id="rId2" w:fontKey="{234A2692-148A-2E44-BB91-7CF5493E2CCC}"/>
    <w:embedItalic r:id="rId3" w:fontKey="{03A1F835-AF90-484B-939F-DCA4730B0480}"/>
  </w:font>
  <w:font w:name="Times New Roman">
    <w:panose1 w:val="02020603050405020304"/>
    <w:charset w:val="00"/>
    <w:family w:val="roman"/>
    <w:pitch w:val="variable"/>
    <w:sig w:usb0="E0002EFF" w:usb1="C000785B" w:usb2="00000009" w:usb3="00000000" w:csb0="000001FF" w:csb1="00000000"/>
    <w:embedRegular r:id="rId4" w:fontKey="{F2C944EF-6B73-6040-9135-76ED985650BF}"/>
    <w:embedBold r:id="rId5" w:fontKey="{B3632DB6-C450-7C48-B930-651B3E3C0AA9}"/>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embedRegular r:id="rId6" w:fontKey="{D2A9DF5E-B615-564A-B17C-B1E2FED88DE1}"/>
  </w:font>
  <w:font w:name="Cambria">
    <w:panose1 w:val="02040503050406030204"/>
    <w:charset w:val="00"/>
    <w:family w:val="roman"/>
    <w:pitch w:val="variable"/>
    <w:sig w:usb0="E00002FF" w:usb1="400004FF" w:usb2="00000000" w:usb3="00000000" w:csb0="0000019F" w:csb1="00000000"/>
    <w:embedRegular r:id="rId7" w:fontKey="{9B802FE1-DB93-6644-A792-1B23FE9508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6D"/>
    <w:rsid w:val="0020549D"/>
    <w:rsid w:val="00595999"/>
    <w:rsid w:val="008600A6"/>
    <w:rsid w:val="00F2196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62B64F"/>
  <w15:docId w15:val="{1907E274-DB10-FB4B-9771-0FD9F8A4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8600A6"/>
    <w:pPr>
      <w:spacing w:before="100" w:beforeAutospacing="1" w:after="100" w:afterAutospacing="1" w:line="240" w:lineRule="auto"/>
    </w:pPr>
    <w:rPr>
      <w:rFonts w:ascii="Times New Roman" w:eastAsia="Times New Roman" w:hAnsi="Times New Roman" w:cs="Times New Roman"/>
      <w:sz w:val="24"/>
      <w:szCs w:val="24"/>
      <w:lang w:val="en-CN"/>
    </w:rPr>
  </w:style>
  <w:style w:type="character" w:styleId="Hyperlink">
    <w:name w:val="Hyperlink"/>
    <w:basedOn w:val="DefaultParagraphFont"/>
    <w:uiPriority w:val="99"/>
    <w:semiHidden/>
    <w:unhideWhenUsed/>
    <w:rsid w:val="008600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2050">
      <w:bodyDiv w:val="1"/>
      <w:marLeft w:val="0"/>
      <w:marRight w:val="0"/>
      <w:marTop w:val="0"/>
      <w:marBottom w:val="0"/>
      <w:divBdr>
        <w:top w:val="none" w:sz="0" w:space="0" w:color="auto"/>
        <w:left w:val="none" w:sz="0" w:space="0" w:color="auto"/>
        <w:bottom w:val="none" w:sz="0" w:space="0" w:color="auto"/>
        <w:right w:val="none" w:sz="0" w:space="0" w:color="auto"/>
      </w:divBdr>
    </w:div>
    <w:div w:id="962231873">
      <w:bodyDiv w:val="1"/>
      <w:marLeft w:val="0"/>
      <w:marRight w:val="0"/>
      <w:marTop w:val="0"/>
      <w:marBottom w:val="0"/>
      <w:divBdr>
        <w:top w:val="none" w:sz="0" w:space="0" w:color="auto"/>
        <w:left w:val="none" w:sz="0" w:space="0" w:color="auto"/>
        <w:bottom w:val="none" w:sz="0" w:space="0" w:color="auto"/>
        <w:right w:val="none" w:sz="0" w:space="0" w:color="auto"/>
      </w:divBdr>
    </w:div>
    <w:div w:id="1367949762">
      <w:bodyDiv w:val="1"/>
      <w:marLeft w:val="0"/>
      <w:marRight w:val="0"/>
      <w:marTop w:val="0"/>
      <w:marBottom w:val="0"/>
      <w:divBdr>
        <w:top w:val="none" w:sz="0" w:space="0" w:color="auto"/>
        <w:left w:val="none" w:sz="0" w:space="0" w:color="auto"/>
        <w:bottom w:val="none" w:sz="0" w:space="0" w:color="auto"/>
        <w:right w:val="none" w:sz="0" w:space="0" w:color="auto"/>
      </w:divBdr>
    </w:div>
    <w:div w:id="1386299875">
      <w:bodyDiv w:val="1"/>
      <w:marLeft w:val="0"/>
      <w:marRight w:val="0"/>
      <w:marTop w:val="0"/>
      <w:marBottom w:val="0"/>
      <w:divBdr>
        <w:top w:val="none" w:sz="0" w:space="0" w:color="auto"/>
        <w:left w:val="none" w:sz="0" w:space="0" w:color="auto"/>
        <w:bottom w:val="none" w:sz="0" w:space="0" w:color="auto"/>
        <w:right w:val="none" w:sz="0" w:space="0" w:color="auto"/>
      </w:divBdr>
    </w:div>
    <w:div w:id="1575626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eoc.gov/sexual-harassmen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osha.gov/workplace-violence" TargetMode="External"/><Relationship Id="rId12" Type="http://schemas.openxmlformats.org/officeDocument/2006/relationships/hyperlink" Target="https://www.samhs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eoc.gov/laws/guidance/enforcement-guidance-harassment-workplace" TargetMode="External"/><Relationship Id="rId11" Type="http://schemas.openxmlformats.org/officeDocument/2006/relationships/hyperlink" Target="https://www.cdc.gov/niosh/topics/violence/" TargetMode="External"/><Relationship Id="rId5" Type="http://schemas.openxmlformats.org/officeDocument/2006/relationships/hyperlink" Target="https://www.samhsa.gov" TargetMode="External"/><Relationship Id="rId10" Type="http://schemas.openxmlformats.org/officeDocument/2006/relationships/hyperlink" Target="https://www.osha.gov/workplace-violence" TargetMode="External"/><Relationship Id="rId4" Type="http://schemas.openxmlformats.org/officeDocument/2006/relationships/hyperlink" Target="https://www.eeoc.gov/sexual-harassment" TargetMode="External"/><Relationship Id="rId9" Type="http://schemas.openxmlformats.org/officeDocument/2006/relationships/hyperlink" Target="https://www.eeoc.gov/laws/guidance/enforcement-guidance-harassment-workplace"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Isaac Epstein</cp:lastModifiedBy>
  <cp:revision>4</cp:revision>
  <dcterms:created xsi:type="dcterms:W3CDTF">2026-05-19T16:47:00Z</dcterms:created>
  <dcterms:modified xsi:type="dcterms:W3CDTF">2026-05-19T17:32:00Z</dcterms:modified>
</cp:coreProperties>
</file>