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Alemán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20-01-2021 al 23-01-2021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VFVf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29 hrs.</w:t>
            </w:r>
            <w:r>
              <w:br/>
            </w:r>
            <w:r>
              <w:t xml:space="preserve">18:00 a 21:00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Computacion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11-01-2021 al 18-01-2021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Rodriguez Martinez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12:00 a 15:00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14:00 a 17:00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4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Formación Continua de Docentes: Buenas Prácticas para obtener y renovar el Reconocimiento a Perfil Des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A51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Ignacius Frias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08:00 a 18:00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5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ASIS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07-01-2021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AB43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Ignacio Friass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10:00 a 22:00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