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14:00 a 17:00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ASIS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07-01-2021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AB43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10:00 a 22:00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Ignacio Friass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4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EMPALME 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5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Administración de carritos de limpieza y trapeadores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25-01-2021 al 06-02-2021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12:00 a 15:00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ASDA BBB DDe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Administración y reparación de radios de los años '80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A-86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05:00 a 08:00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Gestión en impresión de lonas para super mercados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24-01-2021 al 04-02-2021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19:00 a 23:00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ASDA BBB DDe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8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ASISTENCIA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21-01-2021 al 01-02-2021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A-87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00:00 a 04:00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Furia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ELÉCTRICA, ELECTRÓNICA, BIOMÉDICA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