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color w:val="595959"/>
          <w:sz w:val="28"/>
          <w:szCs w:val="28"/>
        </w:rPr>
        <w:t xml:space="preserve">Guion del vídeo de presentación</w:t>
      </w:r>
    </w:p>
    <w:p>
      <w:pPr>
        <w:spacing w:after="100" w:before="100"/>
        <w:jc w:val="center"/>
      </w:pPr>
      <w:r>
        <w:rPr>
          <w:rFonts w:ascii="Calibri" w:cs="Calibri" w:eastAsia="Calibri" w:hAnsi="Calibri"/>
          <w:b/>
          <w:bCs/>
          <w:color w:val="1F4E5F"/>
          <w:sz w:val="56"/>
          <w:szCs w:val="56"/>
        </w:rPr>
        <w:t xml:space="preserve">EDA · Steam F2P vs Pago</w:t>
      </w:r>
    </w:p>
    <w:p>
      <w:pPr>
        <w:spacing w:after="1200" w:before="200"/>
        <w:jc w:val="center"/>
      </w:pPr>
      <w:r>
        <w:rPr>
          <w:rFonts w:ascii="Calibri" w:cs="Calibri" w:eastAsia="Calibri" w:hAnsi="Calibri"/>
          <w:i/>
          <w:iCs/>
          <w:color w:val="2A8A9A"/>
          <w:sz w:val="22"/>
          <w:szCs w:val="22"/>
        </w:rPr>
        <w:t xml:space="preserve">7 minutos exactos  ·  12 slides  ·  Isaac Frr</w:t>
      </w:r>
    </w:p>
    <w:p>
      <w:pPr>
        <w:pStyle w:val="Heading1"/>
        <w:pageBreakBefore/>
        <w:spacing w:after="180" w:before="240"/>
      </w:pPr>
      <w:r>
        <w:rPr>
          <w:rFonts w:ascii="Calibri" w:cs="Calibri" w:eastAsia="Calibri" w:hAnsi="Calibri"/>
          <w:b/>
          <w:bCs/>
          <w:color w:val="1F4E5F"/>
          <w:sz w:val="40"/>
          <w:szCs w:val="40"/>
        </w:rPr>
        <w:t xml:space="preserve">Cronograma resumen (7 minutos = 420 segundos)</w:t>
      </w:r>
    </w:p>
    <w:p>
      <w:pPr>
        <w:spacing w:after="120" w:before="80" w:line="360"/>
        <w:jc w:val="both"/>
      </w:pPr>
      <w:r>
        <w:rPr>
          <w:rFonts w:ascii="Calibri" w:cs="Calibri" w:eastAsia="Calibri" w:hAnsi="Calibri"/>
          <w:sz w:val="24"/>
          <w:szCs w:val="24"/>
        </w:rPr>
        <w:t xml:space="preserve">Esta tabla es el mapa del vídeo. Tenla a mano durante la grabación. Si te quedas corto o te pasas en algún slide, el final del documento incluye un plan B para ajustar el tiempo.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400"/>
        <w:gridCol w:w="2526"/>
      </w:tblGrid>
      <w:tr>
        <w:trPr>
          <w:tblHeader/>
        </w:trPr>
        <w:tc>
          <w:tcPr>
            <w:tcW w:type="dxa" w:w="900"/>
            <w:tcBorders>
              <w:top w:val="single" w:color="BFBFBF" w:sz="4"/>
              <w:left w:val="single" w:color="BFBFBF" w:sz="4"/>
              <w:bottom w:val="single" w:color="BFBFBF" w:sz="4"/>
              <w:right w:val="single" w:color="BFBFBF" w:sz="4"/>
            </w:tcBorders>
            <w:shd w:fill="1F4E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Slide</w:t>
            </w:r>
          </w:p>
        </w:tc>
        <w:tc>
          <w:tcPr>
            <w:tcW w:type="dxa" w:w="4200"/>
            <w:tcBorders>
              <w:top w:val="single" w:color="BFBFBF" w:sz="4"/>
              <w:left w:val="single" w:color="BFBFBF" w:sz="4"/>
              <w:bottom w:val="single" w:color="BFBFBF" w:sz="4"/>
              <w:right w:val="single" w:color="BFBFBF" w:sz="4"/>
            </w:tcBorders>
            <w:shd w:fill="1F4E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Contenido</w:t>
            </w:r>
          </w:p>
        </w:tc>
        <w:tc>
          <w:tcPr>
            <w:tcW w:type="dxa" w:w="1400"/>
            <w:tcBorders>
              <w:top w:val="single" w:color="BFBFBF" w:sz="4"/>
              <w:left w:val="single" w:color="BFBFBF" w:sz="4"/>
              <w:bottom w:val="single" w:color="BFBFBF" w:sz="4"/>
              <w:right w:val="single" w:color="BFBFBF" w:sz="4"/>
            </w:tcBorders>
            <w:shd w:fill="1F4E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Tiempo</w:t>
            </w:r>
          </w:p>
        </w:tc>
        <w:tc>
          <w:tcPr>
            <w:tcW w:type="dxa" w:w="2526"/>
            <w:tcBorders>
              <w:top w:val="single" w:color="BFBFBF" w:sz="4"/>
              <w:left w:val="single" w:color="BFBFBF" w:sz="4"/>
              <w:bottom w:val="single" w:color="BFBFBF" w:sz="4"/>
              <w:right w:val="single" w:color="BFBFBF" w:sz="4"/>
            </w:tcBorders>
            <w:shd w:fill="1F4E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Duración</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Slide 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Portada y presentación personal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0:00 → 0:15</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15 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Slide 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Contexto: F2P vs Pago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0:15 → 0:50</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35 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Slide 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La pregunta del análisis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0:50 → 1:15</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25 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Slide 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Las 4 hipótesis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1:15 → 1:50</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35 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Slide 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El dataset y la limpieza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1:50 → 2:25</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35 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Slide 6</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H1 · Recepción crítica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2:25 → 3:10</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45 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Slide 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H2 · Géneros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3:10 → 3:55</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45 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Slide 8</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H3 · Peak CCU</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3:55 → 4:45</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50 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Slide 9</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H4 · Evolución temporal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4:45 → 5:35</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50 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Slide 10</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Resumen veredictos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5:35 → 5:55</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20 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Slide 11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Conclusiones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5:55 → 6:25</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30 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Slide 12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Recomendaciones y cierre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6:25 → 7:00</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35 s</w:t>
            </w:r>
          </w:p>
        </w:tc>
      </w:tr>
    </w:tbl>
    <w:p>
      <w:pPr>
        <w:spacing w:after="120" w:before="80" w:line="360"/>
        <w:jc w:val="both"/>
      </w:pPr>
      <w:r>
        <w:rPr>
          <w:rFonts w:ascii="Calibri" w:cs="Calibri" w:eastAsia="Calibri" w:hAnsi="Calibri"/>
          <w:sz w:val="24"/>
          <w:szCs w:val="24"/>
        </w:rPr>
        <w:t xml:space="preserve"/>
      </w:r>
    </w:p>
    <w:p>
      <w:pPr>
        <w:spacing w:after="120" w:before="80" w:line="360"/>
        <w:jc w:val="both"/>
      </w:pPr>
      <w:r>
        <w:rPr>
          <w:rFonts w:ascii="Calibri" w:cs="Calibri" w:eastAsia="Calibri" w:hAnsi="Calibri"/>
          <w:sz w:val="24"/>
          <w:szCs w:val="24"/>
        </w:rPr>
        <w:t xml:space="preserve">Estructura global: 30% contexto (slides 1-4 ≈ 1:50) · 50% análisis (slides 5-10 ≈ 3:30) · 20% conclusiones (slides 11-12 ≈ 1:05). Ajustado a la regla del proyecto.</w:t>
      </w:r>
    </w:p>
    <w:p>
      <w:pPr>
        <w:pStyle w:val="Heading1"/>
        <w:pageBreakBefore/>
        <w:spacing w:after="180" w:before="240"/>
      </w:pPr>
      <w:r>
        <w:rPr>
          <w:rFonts w:ascii="Calibri" w:cs="Calibri" w:eastAsia="Calibri" w:hAnsi="Calibri"/>
          <w:b/>
          <w:bCs/>
          <w:color w:val="1F4E5F"/>
          <w:sz w:val="40"/>
          <w:szCs w:val="40"/>
        </w:rPr>
        <w:t xml:space="preserve">Slide 1 · Portada</w:t>
      </w:r>
    </w:p>
    <w:p>
      <w:pPr>
        <w:spacing w:after="80" w:before="0"/>
      </w:pPr>
      <w:r>
        <w:rPr>
          <w:rFonts w:ascii="Calibri" w:cs="Calibri" w:eastAsia="Calibri" w:hAnsi="Calibri"/>
          <w:b/>
          <w:bCs/>
          <w:color w:val="F96167"/>
          <w:sz w:val="18"/>
          <w:szCs w:val="18"/>
        </w:rPr>
        <w:t xml:space="preserve">Slide 1  ·  </w:t>
      </w:r>
      <w:r>
        <w:rPr>
          <w:rFonts w:ascii="Calibri" w:cs="Calibri" w:eastAsia="Calibri" w:hAnsi="Calibri"/>
          <w:i/>
          <w:iCs/>
          <w:color w:val="595959"/>
          <w:sz w:val="18"/>
          <w:szCs w:val="18"/>
        </w:rPr>
        <w:t xml:space="preserve">Inicia en 0:00  ·  Duración 15 s</w:t>
      </w:r>
    </w:p>
    <w:p>
      <w:pPr>
        <w:spacing w:after="160" w:before="60" w:line="380"/>
        <w:jc w:val="left"/>
      </w:pPr>
      <w:r>
        <w:rPr>
          <w:rFonts w:ascii="Calibri" w:cs="Calibri" w:eastAsia="Calibri" w:hAnsi="Calibri"/>
          <w:sz w:val="26"/>
          <w:szCs w:val="26"/>
        </w:rPr>
        <w:t xml:space="preserve">Buenos días. Soy Isaac Frr, y en los próximos siete minutos voy a presentar un análisis exploratorio sobre el catálogo completo de Steam, centrado en una pregunta concreta: qué diferencia realmente a los juegos gratuitos de los juegos de pago dentro de la plataforma.</w:t>
      </w:r>
    </w:p>
    <w:p>
      <w:pPr>
        <w:pBdr>
          <w:left w:val="single" w:color="2A8A9A" w:sz="18" w:space="8"/>
        </w:pBdr>
        <w:spacing w:after="200" w:before="40"/>
        <w:ind w:left="200"/>
      </w:pPr>
      <w:r>
        <w:rPr>
          <w:rFonts w:ascii="Calibri" w:cs="Calibri" w:eastAsia="Calibri" w:hAnsi="Calibri"/>
          <w:b/>
          <w:bCs/>
          <w:color w:val="2A8A9A"/>
          <w:sz w:val="20"/>
          <w:szCs w:val="20"/>
        </w:rPr>
        <w:t xml:space="preserve">→ Transición  </w:t>
      </w:r>
      <w:r>
        <w:rPr>
          <w:rFonts w:ascii="Calibri" w:cs="Calibri" w:eastAsia="Calibri" w:hAnsi="Calibri"/>
          <w:i/>
          <w:iCs/>
          <w:color w:val="1F4E5F"/>
          <w:sz w:val="20"/>
          <w:szCs w:val="20"/>
        </w:rPr>
        <w:t xml:space="preserve">Pasa a slide 2 inmediatamente.</w:t>
      </w:r>
    </w:p>
    <w:p>
      <w:pPr>
        <w:pStyle w:val="Heading1"/>
        <w:pageBreakBefore/>
        <w:spacing w:after="180" w:before="240"/>
      </w:pPr>
      <w:r>
        <w:rPr>
          <w:rFonts w:ascii="Calibri" w:cs="Calibri" w:eastAsia="Calibri" w:hAnsi="Calibri"/>
          <w:b/>
          <w:bCs/>
          <w:color w:val="1F4E5F"/>
          <w:sz w:val="40"/>
          <w:szCs w:val="40"/>
        </w:rPr>
        <w:t xml:space="preserve">Slide 2 · Contexto</w:t>
      </w:r>
    </w:p>
    <w:p>
      <w:pPr>
        <w:spacing w:after="80" w:before="0"/>
      </w:pPr>
      <w:r>
        <w:rPr>
          <w:rFonts w:ascii="Calibri" w:cs="Calibri" w:eastAsia="Calibri" w:hAnsi="Calibri"/>
          <w:b/>
          <w:bCs/>
          <w:color w:val="F96167"/>
          <w:sz w:val="18"/>
          <w:szCs w:val="18"/>
        </w:rPr>
        <w:t xml:space="preserve">Slide 2  ·  </w:t>
      </w:r>
      <w:r>
        <w:rPr>
          <w:rFonts w:ascii="Calibri" w:cs="Calibri" w:eastAsia="Calibri" w:hAnsi="Calibri"/>
          <w:i/>
          <w:iCs/>
          <w:color w:val="595959"/>
          <w:sz w:val="18"/>
          <w:szCs w:val="18"/>
        </w:rPr>
        <w:t xml:space="preserve">Inicia en 0:15  ·  Duración 35 s</w:t>
      </w:r>
    </w:p>
    <w:p>
      <w:pPr>
        <w:spacing w:after="160" w:before="60" w:line="380"/>
        <w:jc w:val="left"/>
      </w:pPr>
      <w:r>
        <w:rPr>
          <w:rFonts w:ascii="Calibri" w:cs="Calibri" w:eastAsia="Calibri" w:hAnsi="Calibri"/>
          <w:sz w:val="26"/>
          <w:szCs w:val="26"/>
        </w:rPr>
        <w:t xml:space="preserve">Steam es la mayor plataforma de distribución de videojuegos para PC del mundo. En ella conviven dos modelos de negocio muy distintos. Por un lado, los juegos de pago: el usuario realiza un único desembolso para acceder al producto, y el estudio obtiene los ingresos por adelantado. Por otro, los juegos Free-to-Play, gratuitos en el punto de entrada y monetizados mediante microtransacciones, pases de batalla o contenido cosmético. Hablamos de modelos económicamente opuestos, conviviendo en el mismo escaparate.</w:t>
      </w:r>
    </w:p>
    <w:p>
      <w:pPr>
        <w:pBdr>
          <w:left w:val="single" w:color="2A8A9A" w:sz="18" w:space="8"/>
        </w:pBdr>
        <w:spacing w:after="200" w:before="40"/>
        <w:ind w:left="200"/>
      </w:pPr>
      <w:r>
        <w:rPr>
          <w:rFonts w:ascii="Calibri" w:cs="Calibri" w:eastAsia="Calibri" w:hAnsi="Calibri"/>
          <w:b/>
          <w:bCs/>
          <w:color w:val="2A8A9A"/>
          <w:sz w:val="20"/>
          <w:szCs w:val="20"/>
        </w:rPr>
        <w:t xml:space="preserve">→ Transición  </w:t>
      </w:r>
      <w:r>
        <w:rPr>
          <w:rFonts w:ascii="Calibri" w:cs="Calibri" w:eastAsia="Calibri" w:hAnsi="Calibri"/>
          <w:i/>
          <w:iCs/>
          <w:color w:val="1F4E5F"/>
          <w:sz w:val="20"/>
          <w:szCs w:val="20"/>
        </w:rPr>
        <w:t xml:space="preserve">Avanza a slide 3.</w:t>
      </w:r>
    </w:p>
    <w:p>
      <w:pPr>
        <w:pStyle w:val="Heading1"/>
        <w:pageBreakBefore/>
        <w:spacing w:after="180" w:before="240"/>
      </w:pPr>
      <w:r>
        <w:rPr>
          <w:rFonts w:ascii="Calibri" w:cs="Calibri" w:eastAsia="Calibri" w:hAnsi="Calibri"/>
          <w:b/>
          <w:bCs/>
          <w:color w:val="1F4E5F"/>
          <w:sz w:val="40"/>
          <w:szCs w:val="40"/>
        </w:rPr>
        <w:t xml:space="preserve">Slide 3 · La pregunta</w:t>
      </w:r>
    </w:p>
    <w:p>
      <w:pPr>
        <w:spacing w:after="80" w:before="0"/>
      </w:pPr>
      <w:r>
        <w:rPr>
          <w:rFonts w:ascii="Calibri" w:cs="Calibri" w:eastAsia="Calibri" w:hAnsi="Calibri"/>
          <w:b/>
          <w:bCs/>
          <w:color w:val="F96167"/>
          <w:sz w:val="18"/>
          <w:szCs w:val="18"/>
        </w:rPr>
        <w:t xml:space="preserve">Slide 3  ·  </w:t>
      </w:r>
      <w:r>
        <w:rPr>
          <w:rFonts w:ascii="Calibri" w:cs="Calibri" w:eastAsia="Calibri" w:hAnsi="Calibri"/>
          <w:i/>
          <w:iCs/>
          <w:color w:val="595959"/>
          <w:sz w:val="18"/>
          <w:szCs w:val="18"/>
        </w:rPr>
        <w:t xml:space="preserve">Inicia en 0:50  ·  Duración 25 s</w:t>
      </w:r>
    </w:p>
    <w:p>
      <w:pPr>
        <w:spacing w:after="160" w:before="60" w:line="380"/>
        <w:jc w:val="left"/>
      </w:pPr>
      <w:r>
        <w:rPr>
          <w:rFonts w:ascii="Calibri" w:cs="Calibri" w:eastAsia="Calibri" w:hAnsi="Calibri"/>
          <w:sz w:val="26"/>
          <w:szCs w:val="26"/>
        </w:rPr>
        <w:t xml:space="preserve">Y aquí está la cuestión: si fueras a publicar tu próximo juego en Steam, ¿qué modelo elegirías y por qué? La intuición del sector se apoya casi siempre en casos famosos: Fortnite, Counter-Strike, Dota. Este análisis busca la respuesta no en los titulares, sino en los más de 122.000 juegos del catálogo completo.</w:t>
      </w:r>
    </w:p>
    <w:p>
      <w:pPr>
        <w:pBdr>
          <w:left w:val="single" w:color="2A8A9A" w:sz="18" w:space="8"/>
        </w:pBdr>
        <w:spacing w:after="200" w:before="40"/>
        <w:ind w:left="200"/>
      </w:pPr>
      <w:r>
        <w:rPr>
          <w:rFonts w:ascii="Calibri" w:cs="Calibri" w:eastAsia="Calibri" w:hAnsi="Calibri"/>
          <w:b/>
          <w:bCs/>
          <w:color w:val="2A8A9A"/>
          <w:sz w:val="20"/>
          <w:szCs w:val="20"/>
        </w:rPr>
        <w:t xml:space="preserve">→ Transición  </w:t>
      </w:r>
      <w:r>
        <w:rPr>
          <w:rFonts w:ascii="Calibri" w:cs="Calibri" w:eastAsia="Calibri" w:hAnsi="Calibri"/>
          <w:i/>
          <w:iCs/>
          <w:color w:val="1F4E5F"/>
          <w:sz w:val="20"/>
          <w:szCs w:val="20"/>
        </w:rPr>
        <w:t xml:space="preserve">Avanza a slide 4.</w:t>
      </w:r>
    </w:p>
    <w:p>
      <w:pPr>
        <w:pStyle w:val="Heading1"/>
        <w:pageBreakBefore/>
        <w:spacing w:after="180" w:before="240"/>
      </w:pPr>
      <w:r>
        <w:rPr>
          <w:rFonts w:ascii="Calibri" w:cs="Calibri" w:eastAsia="Calibri" w:hAnsi="Calibri"/>
          <w:b/>
          <w:bCs/>
          <w:color w:val="1F4E5F"/>
          <w:sz w:val="40"/>
          <w:szCs w:val="40"/>
        </w:rPr>
        <w:t xml:space="preserve">Slide 4 · Las 4 hipótesis</w:t>
      </w:r>
    </w:p>
    <w:p>
      <w:pPr>
        <w:spacing w:after="80" w:before="0"/>
      </w:pPr>
      <w:r>
        <w:rPr>
          <w:rFonts w:ascii="Calibri" w:cs="Calibri" w:eastAsia="Calibri" w:hAnsi="Calibri"/>
          <w:b/>
          <w:bCs/>
          <w:color w:val="F96167"/>
          <w:sz w:val="18"/>
          <w:szCs w:val="18"/>
        </w:rPr>
        <w:t xml:space="preserve">Slide 4  ·  </w:t>
      </w:r>
      <w:r>
        <w:rPr>
          <w:rFonts w:ascii="Calibri" w:cs="Calibri" w:eastAsia="Calibri" w:hAnsi="Calibri"/>
          <w:i/>
          <w:iCs/>
          <w:color w:val="595959"/>
          <w:sz w:val="18"/>
          <w:szCs w:val="18"/>
        </w:rPr>
        <w:t xml:space="preserve">Inicia en 1:15  ·  Duración 35 s</w:t>
      </w:r>
    </w:p>
    <w:p>
      <w:pPr>
        <w:spacing w:after="160" w:before="60" w:line="380"/>
        <w:jc w:val="left"/>
      </w:pPr>
      <w:r>
        <w:rPr>
          <w:rFonts w:ascii="Calibri" w:cs="Calibri" w:eastAsia="Calibri" w:hAnsi="Calibri"/>
          <w:sz w:val="26"/>
          <w:szCs w:val="26"/>
        </w:rPr>
        <w:t xml:space="preserve">Para responderla planteo cuatro hipótesis verificables. La primera, sobre recepción crítica: los F2P obtendrían un porcentaje de reseñas positivas menor que los de pago. La segunda, sobre géneros: F2P y de pago concentrarían su catálogo en géneros distintos. La tercera, sobre volumen: los F2P tendrían más jugadores concurrentes que los de pago. Y la cuarta, sobre tendencia: el porcentaje de F2P sobre el total de lanzamientos habría crecido año a año desde 2010.</w:t>
      </w:r>
    </w:p>
    <w:p>
      <w:pPr>
        <w:pBdr>
          <w:left w:val="single" w:color="2A8A9A" w:sz="18" w:space="8"/>
        </w:pBdr>
        <w:spacing w:after="200" w:before="40"/>
        <w:ind w:left="200"/>
      </w:pPr>
      <w:r>
        <w:rPr>
          <w:rFonts w:ascii="Calibri" w:cs="Calibri" w:eastAsia="Calibri" w:hAnsi="Calibri"/>
          <w:b/>
          <w:bCs/>
          <w:color w:val="2A8A9A"/>
          <w:sz w:val="20"/>
          <w:szCs w:val="20"/>
        </w:rPr>
        <w:t xml:space="preserve">→ Transición  </w:t>
      </w:r>
      <w:r>
        <w:rPr>
          <w:rFonts w:ascii="Calibri" w:cs="Calibri" w:eastAsia="Calibri" w:hAnsi="Calibri"/>
          <w:i/>
          <w:iCs/>
          <w:color w:val="1F4E5F"/>
          <w:sz w:val="20"/>
          <w:szCs w:val="20"/>
        </w:rPr>
        <w:t xml:space="preserve">Avanza a slide 5. Empieza la fase de análisis.</w:t>
      </w:r>
    </w:p>
    <w:p>
      <w:pPr>
        <w:pStyle w:val="Heading1"/>
        <w:pageBreakBefore/>
        <w:spacing w:after="180" w:before="240"/>
      </w:pPr>
      <w:r>
        <w:rPr>
          <w:rFonts w:ascii="Calibri" w:cs="Calibri" w:eastAsia="Calibri" w:hAnsi="Calibri"/>
          <w:b/>
          <w:bCs/>
          <w:color w:val="1F4E5F"/>
          <w:sz w:val="40"/>
          <w:szCs w:val="40"/>
        </w:rPr>
        <w:t xml:space="preserve">Slide 5 · El dataset</w:t>
      </w:r>
    </w:p>
    <w:p>
      <w:pPr>
        <w:spacing w:after="80" w:before="0"/>
      </w:pPr>
      <w:r>
        <w:rPr>
          <w:rFonts w:ascii="Calibri" w:cs="Calibri" w:eastAsia="Calibri" w:hAnsi="Calibri"/>
          <w:b/>
          <w:bCs/>
          <w:color w:val="F96167"/>
          <w:sz w:val="18"/>
          <w:szCs w:val="18"/>
        </w:rPr>
        <w:t xml:space="preserve">Slide 5  ·  </w:t>
      </w:r>
      <w:r>
        <w:rPr>
          <w:rFonts w:ascii="Calibri" w:cs="Calibri" w:eastAsia="Calibri" w:hAnsi="Calibri"/>
          <w:i/>
          <w:iCs/>
          <w:color w:val="595959"/>
          <w:sz w:val="18"/>
          <w:szCs w:val="18"/>
        </w:rPr>
        <w:t xml:space="preserve">Inicia en 1:50  ·  Duración 35 s</w:t>
      </w:r>
    </w:p>
    <w:p>
      <w:pPr>
        <w:spacing w:after="160" w:before="60" w:line="380"/>
        <w:jc w:val="left"/>
      </w:pPr>
      <w:r>
        <w:rPr>
          <w:rFonts w:ascii="Calibri" w:cs="Calibri" w:eastAsia="Calibri" w:hAnsi="Calibri"/>
          <w:sz w:val="26"/>
          <w:szCs w:val="26"/>
        </w:rPr>
        <w:t xml:space="preserve">El dataset utilizado es el Steam Games Dataset de FronkonGames, snapshot de enero de 2026: 122.611 juegos en bruto. Al filtrar el catálogo para quedarnos sólo con juegos con tracción real (al menos diez reseñas o presencia de jugadores concurrentes), el universo se reduce a 58.251 juegos. Y aquí aparece el primer dato relevante: la proporción real entre F2P y de pago es del 13 frente al 87 por ciento, muy lejos del 66 por ciento bruto inicial. Sin este filtrado, las comparaciones estarían contaminadas por demos, software gratuito y juegos sin audiencia.</w:t>
      </w:r>
    </w:p>
    <w:p>
      <w:pPr>
        <w:pBdr>
          <w:left w:val="single" w:color="2A8A9A" w:sz="18" w:space="8"/>
        </w:pBdr>
        <w:spacing w:after="200" w:before="40"/>
        <w:ind w:left="200"/>
      </w:pPr>
      <w:r>
        <w:rPr>
          <w:rFonts w:ascii="Calibri" w:cs="Calibri" w:eastAsia="Calibri" w:hAnsi="Calibri"/>
          <w:b/>
          <w:bCs/>
          <w:color w:val="2A8A9A"/>
          <w:sz w:val="20"/>
          <w:szCs w:val="20"/>
        </w:rPr>
        <w:t xml:space="preserve">→ Transición  </w:t>
      </w:r>
      <w:r>
        <w:rPr>
          <w:rFonts w:ascii="Calibri" w:cs="Calibri" w:eastAsia="Calibri" w:hAnsi="Calibri"/>
          <w:i/>
          <w:iCs/>
          <w:color w:val="1F4E5F"/>
          <w:sz w:val="20"/>
          <w:szCs w:val="20"/>
        </w:rPr>
        <w:t xml:space="preserve">Avanza a slide 6. Primera hipótesis.</w:t>
      </w:r>
    </w:p>
    <w:p>
      <w:pPr>
        <w:pStyle w:val="Heading1"/>
        <w:pageBreakBefore/>
        <w:spacing w:after="180" w:before="240"/>
      </w:pPr>
      <w:r>
        <w:rPr>
          <w:rFonts w:ascii="Calibri" w:cs="Calibri" w:eastAsia="Calibri" w:hAnsi="Calibri"/>
          <w:b/>
          <w:bCs/>
          <w:color w:val="1F4E5F"/>
          <w:sz w:val="40"/>
          <w:szCs w:val="40"/>
        </w:rPr>
        <w:t xml:space="preserve">Slide 6 · H1 — Recepción</w:t>
      </w:r>
    </w:p>
    <w:p>
      <w:pPr>
        <w:spacing w:after="80" w:before="0"/>
      </w:pPr>
      <w:r>
        <w:rPr>
          <w:rFonts w:ascii="Calibri" w:cs="Calibri" w:eastAsia="Calibri" w:hAnsi="Calibri"/>
          <w:b/>
          <w:bCs/>
          <w:color w:val="F96167"/>
          <w:sz w:val="18"/>
          <w:szCs w:val="18"/>
        </w:rPr>
        <w:t xml:space="preserve">Slide 6  ·  </w:t>
      </w:r>
      <w:r>
        <w:rPr>
          <w:rFonts w:ascii="Calibri" w:cs="Calibri" w:eastAsia="Calibri" w:hAnsi="Calibri"/>
          <w:i/>
          <w:iCs/>
          <w:color w:val="595959"/>
          <w:sz w:val="18"/>
          <w:szCs w:val="18"/>
        </w:rPr>
        <w:t xml:space="preserve">Inicia en 2:25  ·  Duración 45 s</w:t>
      </w:r>
    </w:p>
    <w:p>
      <w:pPr>
        <w:spacing w:after="160" w:before="60" w:line="380"/>
        <w:jc w:val="left"/>
      </w:pPr>
      <w:r>
        <w:rPr>
          <w:rFonts w:ascii="Calibri" w:cs="Calibri" w:eastAsia="Calibri" w:hAnsi="Calibri"/>
          <w:sz w:val="26"/>
          <w:szCs w:val="26"/>
        </w:rPr>
        <w:t xml:space="preserve">Vamos con la primera hipótesis: la recepción crítica. ¿Son los F2P peor valorados? Tomando los juegos con al menos cincuenta reseñas, la mediana del porcentaje de positivas es del 79,2 por ciento para los F2P y del 82,4 por ciento para los de pago. La diferencia es estadísticamente abrumadora, con un p-value de 10 elevado a menos 32 en el test de Mann-Whitney. Por tanto, la hipótesis queda confirmada. Pero atención al matiz: en magnitud, hablamos de apenas tres puntos porcentuales. Los F2P no son sistemáticamente peores juegos; son ligeramente más críticos en su recepción agregada.</w:t>
      </w:r>
    </w:p>
    <w:p>
      <w:pPr>
        <w:pBdr>
          <w:left w:val="single" w:color="2A8A9A" w:sz="18" w:space="8"/>
        </w:pBdr>
        <w:spacing w:after="200" w:before="40"/>
        <w:ind w:left="200"/>
      </w:pPr>
      <w:r>
        <w:rPr>
          <w:rFonts w:ascii="Calibri" w:cs="Calibri" w:eastAsia="Calibri" w:hAnsi="Calibri"/>
          <w:b/>
          <w:bCs/>
          <w:color w:val="2A8A9A"/>
          <w:sz w:val="20"/>
          <w:szCs w:val="20"/>
        </w:rPr>
        <w:t xml:space="preserve">→ Transición  </w:t>
      </w:r>
      <w:r>
        <w:rPr>
          <w:rFonts w:ascii="Calibri" w:cs="Calibri" w:eastAsia="Calibri" w:hAnsi="Calibri"/>
          <w:i/>
          <w:iCs/>
          <w:color w:val="1F4E5F"/>
          <w:sz w:val="20"/>
          <w:szCs w:val="20"/>
        </w:rPr>
        <w:t xml:space="preserve">Avanza a slide 7. Segunda hipótesis.</w:t>
      </w:r>
    </w:p>
    <w:p>
      <w:pPr>
        <w:pStyle w:val="Heading1"/>
        <w:pageBreakBefore/>
        <w:spacing w:after="180" w:before="240"/>
      </w:pPr>
      <w:r>
        <w:rPr>
          <w:rFonts w:ascii="Calibri" w:cs="Calibri" w:eastAsia="Calibri" w:hAnsi="Calibri"/>
          <w:b/>
          <w:bCs/>
          <w:color w:val="1F4E5F"/>
          <w:sz w:val="40"/>
          <w:szCs w:val="40"/>
        </w:rPr>
        <w:t xml:space="preserve">Slide 7 · H2 — Géneros</w:t>
      </w:r>
    </w:p>
    <w:p>
      <w:pPr>
        <w:spacing w:after="80" w:before="0"/>
      </w:pPr>
      <w:r>
        <w:rPr>
          <w:rFonts w:ascii="Calibri" w:cs="Calibri" w:eastAsia="Calibri" w:hAnsi="Calibri"/>
          <w:b/>
          <w:bCs/>
          <w:color w:val="F96167"/>
          <w:sz w:val="18"/>
          <w:szCs w:val="18"/>
        </w:rPr>
        <w:t xml:space="preserve">Slide 7  ·  </w:t>
      </w:r>
      <w:r>
        <w:rPr>
          <w:rFonts w:ascii="Calibri" w:cs="Calibri" w:eastAsia="Calibri" w:hAnsi="Calibri"/>
          <w:i/>
          <w:iCs/>
          <w:color w:val="595959"/>
          <w:sz w:val="18"/>
          <w:szCs w:val="18"/>
        </w:rPr>
        <w:t xml:space="preserve">Inicia en 3:10  ·  Duración 45 s</w:t>
      </w:r>
    </w:p>
    <w:p>
      <w:pPr>
        <w:spacing w:after="160" w:before="60" w:line="380"/>
        <w:jc w:val="left"/>
      </w:pPr>
      <w:r>
        <w:rPr>
          <w:rFonts w:ascii="Calibri" w:cs="Calibri" w:eastAsia="Calibri" w:hAnsi="Calibri"/>
          <w:sz w:val="26"/>
          <w:szCs w:val="26"/>
        </w:rPr>
        <w:t xml:space="preserve">Segunda hipótesis: la distribución de géneros. Aquí los datos son contundentes. El test de chi-cuadrado sobre la tabla de contingencia género por modelo arroja un valor de 4.135 con un p-value indistinguible de cero. La hipótesis se confirma con holgura. Observando los top diez de cada modelo encontramos un dato curioso: en el ranking de los F2P aparece el género Free-To-Play como categoría propia, y los géneros Casual e Indie están sobrerrepresentados. En los juegos de pago, en cambio, el reparto entre Adventure, Simulation y Strategy es mucho más equilibrado. F2P y de pago compiten en mundos paralelos.</w:t>
      </w:r>
    </w:p>
    <w:p>
      <w:pPr>
        <w:pBdr>
          <w:left w:val="single" w:color="2A8A9A" w:sz="18" w:space="8"/>
        </w:pBdr>
        <w:spacing w:after="200" w:before="40"/>
        <w:ind w:left="200"/>
      </w:pPr>
      <w:r>
        <w:rPr>
          <w:rFonts w:ascii="Calibri" w:cs="Calibri" w:eastAsia="Calibri" w:hAnsi="Calibri"/>
          <w:b/>
          <w:bCs/>
          <w:color w:val="2A8A9A"/>
          <w:sz w:val="20"/>
          <w:szCs w:val="20"/>
        </w:rPr>
        <w:t xml:space="preserve">→ Transición  </w:t>
      </w:r>
      <w:r>
        <w:rPr>
          <w:rFonts w:ascii="Calibri" w:cs="Calibri" w:eastAsia="Calibri" w:hAnsi="Calibri"/>
          <w:i/>
          <w:iCs/>
          <w:color w:val="1F4E5F"/>
          <w:sz w:val="20"/>
          <w:szCs w:val="20"/>
        </w:rPr>
        <w:t xml:space="preserve">Avanza a slide 8. Tercera hipótesis.</w:t>
      </w:r>
    </w:p>
    <w:p>
      <w:pPr>
        <w:pStyle w:val="Heading1"/>
        <w:pageBreakBefore/>
        <w:spacing w:after="180" w:before="240"/>
      </w:pPr>
      <w:r>
        <w:rPr>
          <w:rFonts w:ascii="Calibri" w:cs="Calibri" w:eastAsia="Calibri" w:hAnsi="Calibri"/>
          <w:b/>
          <w:bCs/>
          <w:color w:val="1F4E5F"/>
          <w:sz w:val="40"/>
          <w:szCs w:val="40"/>
        </w:rPr>
        <w:t xml:space="preserve">Slide 8 · H3 — Peak CCU</w:t>
      </w:r>
    </w:p>
    <w:p>
      <w:pPr>
        <w:spacing w:after="80" w:before="0"/>
      </w:pPr>
      <w:r>
        <w:rPr>
          <w:rFonts w:ascii="Calibri" w:cs="Calibri" w:eastAsia="Calibri" w:hAnsi="Calibri"/>
          <w:b/>
          <w:bCs/>
          <w:color w:val="F96167"/>
          <w:sz w:val="18"/>
          <w:szCs w:val="18"/>
        </w:rPr>
        <w:t xml:space="preserve">Slide 8  ·  </w:t>
      </w:r>
      <w:r>
        <w:rPr>
          <w:rFonts w:ascii="Calibri" w:cs="Calibri" w:eastAsia="Calibri" w:hAnsi="Calibri"/>
          <w:i/>
          <w:iCs/>
          <w:color w:val="595959"/>
          <w:sz w:val="18"/>
          <w:szCs w:val="18"/>
        </w:rPr>
        <w:t xml:space="preserve">Inicia en 3:55  ·  Duración 50 s</w:t>
      </w:r>
    </w:p>
    <w:p>
      <w:pPr>
        <w:spacing w:after="160" w:before="60" w:line="380"/>
        <w:jc w:val="left"/>
      </w:pPr>
      <w:r>
        <w:rPr>
          <w:rFonts w:ascii="Calibri" w:cs="Calibri" w:eastAsia="Calibri" w:hAnsi="Calibri"/>
          <w:sz w:val="26"/>
          <w:szCs w:val="26"/>
        </w:rPr>
        <w:t xml:space="preserve">Tercera hipótesis: el volumen de jugadores concurrentes. Y aquí los datos rompen con la intuición inicial. La mediana del Peak CCU es exactamente cero para ambos grupos. La inmensa mayoría de juegos del catálogo no tienen jugadores concurrentes en el snapshot, así que el test estadístico refuta la hipótesis. Sin embargo, hay un matiz crucial. Si miramos el extremo superior del catálogo, cinco de los diez juegos con mayor pico de jugadores son F2P: Counter-Strike 2, con más de un millón de jugadores simultáneos, Dota 2, PUBG, Apex Legends y Marvel Rivals. Conclusión: F2P pierde en mediana, pero domina la cima. Es un modelo winner-take-all extremo.</w:t>
      </w:r>
    </w:p>
    <w:p>
      <w:pPr>
        <w:pBdr>
          <w:left w:val="single" w:color="2A8A9A" w:sz="18" w:space="8"/>
        </w:pBdr>
        <w:spacing w:after="200" w:before="40"/>
        <w:ind w:left="200"/>
      </w:pPr>
      <w:r>
        <w:rPr>
          <w:rFonts w:ascii="Calibri" w:cs="Calibri" w:eastAsia="Calibri" w:hAnsi="Calibri"/>
          <w:b/>
          <w:bCs/>
          <w:color w:val="2A8A9A"/>
          <w:sz w:val="20"/>
          <w:szCs w:val="20"/>
        </w:rPr>
        <w:t xml:space="preserve">→ Transición  </w:t>
      </w:r>
      <w:r>
        <w:rPr>
          <w:rFonts w:ascii="Calibri" w:cs="Calibri" w:eastAsia="Calibri" w:hAnsi="Calibri"/>
          <w:i/>
          <w:iCs/>
          <w:color w:val="1F4E5F"/>
          <w:sz w:val="20"/>
          <w:szCs w:val="20"/>
        </w:rPr>
        <w:t xml:space="preserve">Avanza a slide 9. Cuarta hipótesis.</w:t>
      </w:r>
    </w:p>
    <w:p>
      <w:pPr>
        <w:pStyle w:val="Heading1"/>
        <w:pageBreakBefore/>
        <w:spacing w:after="180" w:before="240"/>
      </w:pPr>
      <w:r>
        <w:rPr>
          <w:rFonts w:ascii="Calibri" w:cs="Calibri" w:eastAsia="Calibri" w:hAnsi="Calibri"/>
          <w:b/>
          <w:bCs/>
          <w:color w:val="1F4E5F"/>
          <w:sz w:val="40"/>
          <w:szCs w:val="40"/>
        </w:rPr>
        <w:t xml:space="preserve">Slide 9 · H4 — Evolución temporal</w:t>
      </w:r>
    </w:p>
    <w:p>
      <w:pPr>
        <w:spacing w:after="80" w:before="0"/>
      </w:pPr>
      <w:r>
        <w:rPr>
          <w:rFonts w:ascii="Calibri" w:cs="Calibri" w:eastAsia="Calibri" w:hAnsi="Calibri"/>
          <w:b/>
          <w:bCs/>
          <w:color w:val="F96167"/>
          <w:sz w:val="18"/>
          <w:szCs w:val="18"/>
        </w:rPr>
        <w:t xml:space="preserve">Slide 9  ·  </w:t>
      </w:r>
      <w:r>
        <w:rPr>
          <w:rFonts w:ascii="Calibri" w:cs="Calibri" w:eastAsia="Calibri" w:hAnsi="Calibri"/>
          <w:i/>
          <w:iCs/>
          <w:color w:val="595959"/>
          <w:sz w:val="18"/>
          <w:szCs w:val="18"/>
        </w:rPr>
        <w:t xml:space="preserve">Inicia en 4:45  ·  Duración 50 s</w:t>
      </w:r>
    </w:p>
    <w:p>
      <w:pPr>
        <w:spacing w:after="160" w:before="60" w:line="380"/>
        <w:jc w:val="left"/>
      </w:pPr>
      <w:r>
        <w:rPr>
          <w:rFonts w:ascii="Calibri" w:cs="Calibri" w:eastAsia="Calibri" w:hAnsi="Calibri"/>
          <w:sz w:val="26"/>
          <w:szCs w:val="26"/>
        </w:rPr>
        <w:t xml:space="preserve">Cuarta hipótesis: la tendencia temporal. La predicción original era un crecimiento monotónico del porcentaje de F2P desde 2010. La realidad es bastante más interesante. Lo que observamos es una curva con forma de U invertida: el porcentaje creció desde el 8,6 por ciento en 2010 hasta un máximo del 22,4 por ciento en 2020, y a partir de ahí ha caído sistemáticamente hasta el 7,3 por ciento en 2024. La correlación de Spearman entre año y porcentaje de F2P es prácticamente nula, lo que refuta la hipótesis. Pero el patrón cuenta una historia muy clara: hubo un boom F2P, coincidente con la pandemia y la fiebre de los Battle Royale, y se ha revertido.</w:t>
      </w:r>
    </w:p>
    <w:p>
      <w:pPr>
        <w:pBdr>
          <w:left w:val="single" w:color="2A8A9A" w:sz="18" w:space="8"/>
        </w:pBdr>
        <w:spacing w:after="200" w:before="40"/>
        <w:ind w:left="200"/>
      </w:pPr>
      <w:r>
        <w:rPr>
          <w:rFonts w:ascii="Calibri" w:cs="Calibri" w:eastAsia="Calibri" w:hAnsi="Calibri"/>
          <w:b/>
          <w:bCs/>
          <w:color w:val="2A8A9A"/>
          <w:sz w:val="20"/>
          <w:szCs w:val="20"/>
        </w:rPr>
        <w:t xml:space="preserve">→ Transición  </w:t>
      </w:r>
      <w:r>
        <w:rPr>
          <w:rFonts w:ascii="Calibri" w:cs="Calibri" w:eastAsia="Calibri" w:hAnsi="Calibri"/>
          <w:i/>
          <w:iCs/>
          <w:color w:val="1F4E5F"/>
          <w:sz w:val="20"/>
          <w:szCs w:val="20"/>
        </w:rPr>
        <w:t xml:space="preserve">Avanza a slide 10. Resumen de veredictos.</w:t>
      </w:r>
    </w:p>
    <w:p>
      <w:pPr>
        <w:pStyle w:val="Heading1"/>
        <w:pageBreakBefore/>
        <w:spacing w:after="180" w:before="240"/>
      </w:pPr>
      <w:r>
        <w:rPr>
          <w:rFonts w:ascii="Calibri" w:cs="Calibri" w:eastAsia="Calibri" w:hAnsi="Calibri"/>
          <w:b/>
          <w:bCs/>
          <w:color w:val="1F4E5F"/>
          <w:sz w:val="40"/>
          <w:szCs w:val="40"/>
        </w:rPr>
        <w:t xml:space="preserve">Slide 10 · Resumen veredictos</w:t>
      </w:r>
    </w:p>
    <w:p>
      <w:pPr>
        <w:spacing w:after="80" w:before="0"/>
      </w:pPr>
      <w:r>
        <w:rPr>
          <w:rFonts w:ascii="Calibri" w:cs="Calibri" w:eastAsia="Calibri" w:hAnsi="Calibri"/>
          <w:b/>
          <w:bCs/>
          <w:color w:val="F96167"/>
          <w:sz w:val="18"/>
          <w:szCs w:val="18"/>
        </w:rPr>
        <w:t xml:space="preserve">Slide 10  ·  </w:t>
      </w:r>
      <w:r>
        <w:rPr>
          <w:rFonts w:ascii="Calibri" w:cs="Calibri" w:eastAsia="Calibri" w:hAnsi="Calibri"/>
          <w:i/>
          <w:iCs/>
          <w:color w:val="595959"/>
          <w:sz w:val="18"/>
          <w:szCs w:val="18"/>
        </w:rPr>
        <w:t xml:space="preserve">Inicia en 5:35  ·  Duración 20 s</w:t>
      </w:r>
    </w:p>
    <w:p>
      <w:pPr>
        <w:spacing w:after="160" w:before="60" w:line="380"/>
        <w:jc w:val="left"/>
      </w:pPr>
      <w:r>
        <w:rPr>
          <w:rFonts w:ascii="Calibri" w:cs="Calibri" w:eastAsia="Calibri" w:hAnsi="Calibri"/>
          <w:sz w:val="26"/>
          <w:szCs w:val="26"/>
        </w:rPr>
        <w:t xml:space="preserve">Recapitulando los cuatro veredictos: H1 y H2 confirmadas, recepción y géneros. H3 y H4 refutadas, volumen y evolución, pero las dos con hallazgos que matizan la afirmación original.</w:t>
      </w:r>
    </w:p>
    <w:p>
      <w:pPr>
        <w:pBdr>
          <w:left w:val="single" w:color="2A8A9A" w:sz="18" w:space="8"/>
        </w:pBdr>
        <w:spacing w:after="200" w:before="40"/>
        <w:ind w:left="200"/>
      </w:pPr>
      <w:r>
        <w:rPr>
          <w:rFonts w:ascii="Calibri" w:cs="Calibri" w:eastAsia="Calibri" w:hAnsi="Calibri"/>
          <w:b/>
          <w:bCs/>
          <w:color w:val="2A8A9A"/>
          <w:sz w:val="20"/>
          <w:szCs w:val="20"/>
        </w:rPr>
        <w:t xml:space="preserve">→ Transición  </w:t>
      </w:r>
      <w:r>
        <w:rPr>
          <w:rFonts w:ascii="Calibri" w:cs="Calibri" w:eastAsia="Calibri" w:hAnsi="Calibri"/>
          <w:i/>
          <w:iCs/>
          <w:color w:val="1F4E5F"/>
          <w:sz w:val="20"/>
          <w:szCs w:val="20"/>
        </w:rPr>
        <w:t xml:space="preserve">Avanza a slide 11. Empieza la fase de conclusiones.</w:t>
      </w:r>
    </w:p>
    <w:p>
      <w:pPr>
        <w:pStyle w:val="Heading1"/>
        <w:pageBreakBefore/>
        <w:spacing w:after="180" w:before="240"/>
      </w:pPr>
      <w:r>
        <w:rPr>
          <w:rFonts w:ascii="Calibri" w:cs="Calibri" w:eastAsia="Calibri" w:hAnsi="Calibri"/>
          <w:b/>
          <w:bCs/>
          <w:color w:val="1F4E5F"/>
          <w:sz w:val="40"/>
          <w:szCs w:val="40"/>
        </w:rPr>
        <w:t xml:space="preserve">Slide 11 · Conclusiones</w:t>
      </w:r>
    </w:p>
    <w:p>
      <w:pPr>
        <w:spacing w:after="80" w:before="0"/>
      </w:pPr>
      <w:r>
        <w:rPr>
          <w:rFonts w:ascii="Calibri" w:cs="Calibri" w:eastAsia="Calibri" w:hAnsi="Calibri"/>
          <w:b/>
          <w:bCs/>
          <w:color w:val="F96167"/>
          <w:sz w:val="18"/>
          <w:szCs w:val="18"/>
        </w:rPr>
        <w:t xml:space="preserve">Slide 11  ·  </w:t>
      </w:r>
      <w:r>
        <w:rPr>
          <w:rFonts w:ascii="Calibri" w:cs="Calibri" w:eastAsia="Calibri" w:hAnsi="Calibri"/>
          <w:i/>
          <w:iCs/>
          <w:color w:val="595959"/>
          <w:sz w:val="18"/>
          <w:szCs w:val="18"/>
        </w:rPr>
        <w:t xml:space="preserve">Inicia en 5:55  ·  Duración 30 s</w:t>
      </w:r>
    </w:p>
    <w:p>
      <w:pPr>
        <w:spacing w:after="160" w:before="60" w:line="380"/>
        <w:jc w:val="left"/>
      </w:pPr>
      <w:r>
        <w:rPr>
          <w:rFonts w:ascii="Calibri" w:cs="Calibri" w:eastAsia="Calibri" w:hAnsi="Calibri"/>
          <w:sz w:val="26"/>
          <w:szCs w:val="26"/>
        </w:rPr>
        <w:t xml:space="preserve">De todo esto extraigo tres ideas centrales. Primera: F2P es un juego de extremos. Cinco de los diez juegos más jugados son F2P, pero la mediana de jugadores es cero. Es un modelo winner-take-all. Segunda: la calidad percibida entre modelos apenas difiere; la creencia de que F2P equivale a juego peor es una caricatura. Y tercera: el mercado se aleja del F2P. La cuota de lanzamientos ha caído del 22 por ciento en 2020 al 7 por ciento en 2024.</w:t>
      </w:r>
    </w:p>
    <w:p>
      <w:pPr>
        <w:pBdr>
          <w:left w:val="single" w:color="2A8A9A" w:sz="18" w:space="8"/>
        </w:pBdr>
        <w:spacing w:after="200" w:before="40"/>
        <w:ind w:left="200"/>
      </w:pPr>
      <w:r>
        <w:rPr>
          <w:rFonts w:ascii="Calibri" w:cs="Calibri" w:eastAsia="Calibri" w:hAnsi="Calibri"/>
          <w:b/>
          <w:bCs/>
          <w:color w:val="2A8A9A"/>
          <w:sz w:val="20"/>
          <w:szCs w:val="20"/>
        </w:rPr>
        <w:t xml:space="preserve">→ Transición  </w:t>
      </w:r>
      <w:r>
        <w:rPr>
          <w:rFonts w:ascii="Calibri" w:cs="Calibri" w:eastAsia="Calibri" w:hAnsi="Calibri"/>
          <w:i/>
          <w:iCs/>
          <w:color w:val="1F4E5F"/>
          <w:sz w:val="20"/>
          <w:szCs w:val="20"/>
        </w:rPr>
        <w:t xml:space="preserve">Avanza a slide 12. Cierre.</w:t>
      </w:r>
    </w:p>
    <w:p>
      <w:pPr>
        <w:pStyle w:val="Heading1"/>
        <w:pageBreakBefore/>
        <w:spacing w:after="180" w:before="240"/>
      </w:pPr>
      <w:r>
        <w:rPr>
          <w:rFonts w:ascii="Calibri" w:cs="Calibri" w:eastAsia="Calibri" w:hAnsi="Calibri"/>
          <w:b/>
          <w:bCs/>
          <w:color w:val="1F4E5F"/>
          <w:sz w:val="40"/>
          <w:szCs w:val="40"/>
        </w:rPr>
        <w:t xml:space="preserve">Slide 12 · Recomendaciones y cierre</w:t>
      </w:r>
    </w:p>
    <w:p>
      <w:pPr>
        <w:spacing w:after="80" w:before="0"/>
      </w:pPr>
      <w:r>
        <w:rPr>
          <w:rFonts w:ascii="Calibri" w:cs="Calibri" w:eastAsia="Calibri" w:hAnsi="Calibri"/>
          <w:b/>
          <w:bCs/>
          <w:color w:val="F96167"/>
          <w:sz w:val="18"/>
          <w:szCs w:val="18"/>
        </w:rPr>
        <w:t xml:space="preserve">Slide 12  ·  </w:t>
      </w:r>
      <w:r>
        <w:rPr>
          <w:rFonts w:ascii="Calibri" w:cs="Calibri" w:eastAsia="Calibri" w:hAnsi="Calibri"/>
          <w:i/>
          <w:iCs/>
          <w:color w:val="595959"/>
          <w:sz w:val="18"/>
          <w:szCs w:val="18"/>
        </w:rPr>
        <w:t xml:space="preserve">Inicia en 6:25  ·  Duración 35 s</w:t>
      </w:r>
    </w:p>
    <w:p>
      <w:pPr>
        <w:spacing w:after="160" w:before="60" w:line="380"/>
        <w:jc w:val="left"/>
      </w:pPr>
      <w:r>
        <w:rPr>
          <w:rFonts w:ascii="Calibri" w:cs="Calibri" w:eastAsia="Calibri" w:hAnsi="Calibri"/>
          <w:sz w:val="26"/>
          <w:szCs w:val="26"/>
        </w:rPr>
        <w:t xml:space="preserve">Por último, las recomendaciones prácticas que se derivan del análisis. Para un estudio indie: salvo que dispongas de capacidad para sostener operaciones en vivo durante años, el modelo de pago ofrece mejor ratio rentabilidad-riesgo. Para inversores: el Peak CCU mediano es un indicador engañoso; mide el éxito por presencia en el top global, no por catálogo. Para el diseño de productos: cada modelo tiene sus géneros naturales y pelear contra esa gravedad de mercado es caro. Muchas gracias por vuestra atención.</w:t>
      </w:r>
    </w:p>
    <w:p>
      <w:pPr>
        <w:spacing w:after="100" w:before="60"/>
      </w:pPr>
      <w:r>
        <w:rPr>
          <w:rFonts w:ascii="Calibri" w:cs="Calibri" w:eastAsia="Calibri" w:hAnsi="Calibri"/>
          <w:b/>
          <w:bCs/>
          <w:color w:val="F96167"/>
          <w:sz w:val="20"/>
          <w:szCs w:val="20"/>
        </w:rPr>
        <w:t xml:space="preserve">Nota técnica: </w:t>
      </w:r>
      <w:r>
        <w:rPr>
          <w:rFonts w:ascii="Calibri" w:cs="Calibri" w:eastAsia="Calibri" w:hAnsi="Calibri"/>
          <w:i/>
          <w:iCs/>
          <w:color w:val="595959"/>
          <w:sz w:val="20"/>
          <w:szCs w:val="20"/>
        </w:rPr>
        <w:t xml:space="preserve">Final exacto en 7:00. Tras decir "muchas gracias", quédate quieto mirando a cámara durante un par de segundos antes de cortar la grabación. Da margen para el corte en post.</w:t>
      </w:r>
    </w:p>
    <w:p>
      <w:pPr>
        <w:pStyle w:val="Heading1"/>
        <w:pageBreakBefore/>
        <w:spacing w:after="180" w:before="240"/>
      </w:pPr>
      <w:r>
        <w:rPr>
          <w:rFonts w:ascii="Calibri" w:cs="Calibri" w:eastAsia="Calibri" w:hAnsi="Calibri"/>
          <w:b/>
          <w:bCs/>
          <w:color w:val="1F4E5F"/>
          <w:sz w:val="40"/>
          <w:szCs w:val="40"/>
        </w:rPr>
        <w:t xml:space="preserve">Manual de grabación</w:t>
      </w:r>
    </w:p>
    <w:p>
      <w:pPr>
        <w:pStyle w:val="Heading2"/>
        <w:spacing w:after="100" w:before="200"/>
      </w:pPr>
      <w:r>
        <w:rPr>
          <w:rFonts w:ascii="Calibri" w:cs="Calibri" w:eastAsia="Calibri" w:hAnsi="Calibri"/>
          <w:b/>
          <w:bCs/>
          <w:color w:val="2A8A9A"/>
          <w:sz w:val="28"/>
          <w:szCs w:val="28"/>
        </w:rPr>
        <w:t xml:space="preserve">Antes de grabar (10 minutos de setup)</w:t>
      </w:r>
    </w:p>
    <w:p>
      <w:pPr>
        <w:pStyle w:val="ListParagraph"/>
        <w:numPr>
          <w:ilvl w:val="0"/>
          <w:numId w:val="2"/>
        </w:numPr>
        <w:spacing w:after="60" w:before="30"/>
      </w:pPr>
      <w:r>
        <w:rPr>
          <w:rFonts w:ascii="Calibri" w:cs="Calibri" w:eastAsia="Calibri" w:hAnsi="Calibri"/>
          <w:sz w:val="22"/>
          <w:szCs w:val="22"/>
        </w:rPr>
        <w:t xml:space="preserve">Cierra todas las aplicaciones que envíen notificaciones (Slack, correo, Teams, WhatsApp Web). Activa el modo No molestar de Windows.</w:t>
      </w:r>
    </w:p>
    <w:p>
      <w:pPr>
        <w:pStyle w:val="ListParagraph"/>
        <w:numPr>
          <w:ilvl w:val="0"/>
          <w:numId w:val="2"/>
        </w:numPr>
        <w:spacing w:after="60" w:before="30"/>
      </w:pPr>
      <w:r>
        <w:rPr>
          <w:rFonts w:ascii="Calibri" w:cs="Calibri" w:eastAsia="Calibri" w:hAnsi="Calibri"/>
          <w:sz w:val="22"/>
          <w:szCs w:val="22"/>
        </w:rPr>
        <w:t xml:space="preserve">Pon el móvil en modo avión y déjalo lejos del ordenador, salvo si lo usas como cronómetro.</w:t>
      </w:r>
    </w:p>
    <w:p>
      <w:pPr>
        <w:pStyle w:val="ListParagraph"/>
        <w:numPr>
          <w:ilvl w:val="0"/>
          <w:numId w:val="2"/>
        </w:numPr>
        <w:spacing w:after="60" w:before="30"/>
      </w:pPr>
      <w:r>
        <w:rPr>
          <w:rFonts w:ascii="Calibri" w:cs="Calibri" w:eastAsia="Calibri" w:hAnsi="Calibri"/>
          <w:sz w:val="22"/>
          <w:szCs w:val="22"/>
        </w:rPr>
        <w:t xml:space="preserve">Comprueba batería: si grabas en portátil, mejor enchufado a la red.</w:t>
      </w:r>
    </w:p>
    <w:p>
      <w:pPr>
        <w:pStyle w:val="ListParagraph"/>
        <w:numPr>
          <w:ilvl w:val="0"/>
          <w:numId w:val="2"/>
        </w:numPr>
        <w:spacing w:after="60" w:before="30"/>
      </w:pPr>
      <w:r>
        <w:rPr>
          <w:rFonts w:ascii="Calibri" w:cs="Calibri" w:eastAsia="Calibri" w:hAnsi="Calibri"/>
          <w:sz w:val="22"/>
          <w:szCs w:val="22"/>
        </w:rPr>
        <w:t xml:space="preserve">Prueba el micrófono. Hablar a 15-20 cm del micro, sin tocarlo. Si usas los del portátil, evita golpes en el teclado.</w:t>
      </w:r>
    </w:p>
    <w:p>
      <w:pPr>
        <w:pStyle w:val="ListParagraph"/>
        <w:numPr>
          <w:ilvl w:val="0"/>
          <w:numId w:val="2"/>
        </w:numPr>
        <w:spacing w:after="60" w:before="30"/>
      </w:pPr>
      <w:r>
        <w:rPr>
          <w:rFonts w:ascii="Calibri" w:cs="Calibri" w:eastAsia="Calibri" w:hAnsi="Calibri"/>
          <w:sz w:val="22"/>
          <w:szCs w:val="22"/>
        </w:rPr>
        <w:t xml:space="preserve">Comprueba iluminación: la luz de cara, no desde detrás (ventana frontal o lámpara). Sin contraluz.</w:t>
      </w:r>
    </w:p>
    <w:p>
      <w:pPr>
        <w:pStyle w:val="ListParagraph"/>
        <w:numPr>
          <w:ilvl w:val="0"/>
          <w:numId w:val="2"/>
        </w:numPr>
        <w:spacing w:after="60" w:before="30"/>
      </w:pPr>
      <w:r>
        <w:rPr>
          <w:rFonts w:ascii="Calibri" w:cs="Calibri" w:eastAsia="Calibri" w:hAnsi="Calibri"/>
          <w:sz w:val="22"/>
          <w:szCs w:val="22"/>
        </w:rPr>
        <w:t xml:space="preserve">Fondo neutro: sin elementos personales reconocibles ni desorden detrás.</w:t>
      </w:r>
    </w:p>
    <w:p>
      <w:pPr>
        <w:pStyle w:val="ListParagraph"/>
        <w:numPr>
          <w:ilvl w:val="0"/>
          <w:numId w:val="2"/>
        </w:numPr>
        <w:spacing w:after="60" w:before="30"/>
      </w:pPr>
      <w:r>
        <w:rPr>
          <w:rFonts w:ascii="Calibri" w:cs="Calibri" w:eastAsia="Calibri" w:hAnsi="Calibri"/>
          <w:sz w:val="22"/>
          <w:szCs w:val="22"/>
        </w:rPr>
        <w:t xml:space="preserve">Ten un cronómetro a la vista (móvil al lado del teclado o cronómetro en el segundo monitor). El reloj de Zoom no es lo bastante grande.</w:t>
      </w:r>
    </w:p>
    <w:p>
      <w:pPr>
        <w:pStyle w:val="ListParagraph"/>
        <w:numPr>
          <w:ilvl w:val="0"/>
          <w:numId w:val="2"/>
        </w:numPr>
        <w:spacing w:after="60" w:before="30"/>
      </w:pPr>
      <w:r>
        <w:rPr>
          <w:rFonts w:ascii="Calibri" w:cs="Calibri" w:eastAsia="Calibri" w:hAnsi="Calibri"/>
          <w:sz w:val="22"/>
          <w:szCs w:val="22"/>
        </w:rPr>
        <w:t xml:space="preserve">Abre el Presentacion.pptx en modo presentación a pantalla completa antes de empezar a grabar.</w:t>
      </w:r>
    </w:p>
    <w:p>
      <w:pPr>
        <w:pStyle w:val="Heading2"/>
        <w:spacing w:after="100" w:before="200"/>
      </w:pPr>
      <w:r>
        <w:rPr>
          <w:rFonts w:ascii="Calibri" w:cs="Calibri" w:eastAsia="Calibri" w:hAnsi="Calibri"/>
          <w:b/>
          <w:bCs/>
          <w:color w:val="2A8A9A"/>
          <w:sz w:val="28"/>
          <w:szCs w:val="28"/>
        </w:rPr>
        <w:t xml:space="preserve">Plataforma recomendada · Zoom</w:t>
      </w:r>
    </w:p>
    <w:p>
      <w:pPr>
        <w:pStyle w:val="ListParagraph"/>
        <w:numPr>
          <w:ilvl w:val="0"/>
          <w:numId w:val="2"/>
        </w:numPr>
        <w:spacing w:after="60" w:before="30"/>
      </w:pPr>
      <w:r>
        <w:rPr>
          <w:rFonts w:ascii="Calibri" w:cs="Calibri" w:eastAsia="Calibri" w:hAnsi="Calibri"/>
          <w:sz w:val="22"/>
          <w:szCs w:val="22"/>
        </w:rPr>
        <w:t xml:space="preserve">Crea una reunión solo contigo (sin invitar a nadie). Activa cámara y micro.</w:t>
      </w:r>
    </w:p>
    <w:p>
      <w:pPr>
        <w:pStyle w:val="ListParagraph"/>
        <w:numPr>
          <w:ilvl w:val="0"/>
          <w:numId w:val="2"/>
        </w:numPr>
        <w:spacing w:after="60" w:before="30"/>
      </w:pPr>
      <w:r>
        <w:rPr>
          <w:rFonts w:ascii="Calibri" w:cs="Calibri" w:eastAsia="Calibri" w:hAnsi="Calibri"/>
          <w:sz w:val="22"/>
          <w:szCs w:val="22"/>
        </w:rPr>
        <w:t xml:space="preserve">Comparte pantalla → selecciona la ventana del PowerPoint, no toda la pantalla.</w:t>
      </w:r>
    </w:p>
    <w:p>
      <w:pPr>
        <w:pStyle w:val="ListParagraph"/>
        <w:numPr>
          <w:ilvl w:val="0"/>
          <w:numId w:val="2"/>
        </w:numPr>
        <w:spacing w:after="60" w:before="30"/>
      </w:pPr>
      <w:r>
        <w:rPr>
          <w:rFonts w:ascii="Calibri" w:cs="Calibri" w:eastAsia="Calibri" w:hAnsi="Calibri"/>
          <w:sz w:val="22"/>
          <w:szCs w:val="22"/>
        </w:rPr>
        <w:t xml:space="preserve">Botón Grabar → "Grabar en este ordenador". El vídeo se guarda en MP4 al cerrar Zoom, en la carpeta Documents/Zoom de Windows.</w:t>
      </w:r>
    </w:p>
    <w:p>
      <w:pPr>
        <w:pStyle w:val="ListParagraph"/>
        <w:numPr>
          <w:ilvl w:val="0"/>
          <w:numId w:val="2"/>
        </w:numPr>
        <w:spacing w:after="60" w:before="30"/>
      </w:pPr>
      <w:r>
        <w:rPr>
          <w:rFonts w:ascii="Calibri" w:cs="Calibri" w:eastAsia="Calibri" w:hAnsi="Calibri"/>
          <w:sz w:val="22"/>
          <w:szCs w:val="22"/>
        </w:rPr>
        <w:t xml:space="preserve">La cámara tuya queda en una esquinita superpuesta a las slides — es exactamente lo que pide la rúbrica ("cámaras encendidas").</w:t>
      </w:r>
    </w:p>
    <w:p>
      <w:pPr>
        <w:pStyle w:val="Heading2"/>
        <w:spacing w:after="100" w:before="200"/>
      </w:pPr>
      <w:r>
        <w:rPr>
          <w:rFonts w:ascii="Calibri" w:cs="Calibri" w:eastAsia="Calibri" w:hAnsi="Calibri"/>
          <w:b/>
          <w:bCs/>
          <w:color w:val="2A8A9A"/>
          <w:sz w:val="28"/>
          <w:szCs w:val="28"/>
        </w:rPr>
        <w:t xml:space="preserve">Plan B si te quedas corto o te pasas</w:t>
      </w:r>
    </w:p>
    <w:p>
      <w:pPr>
        <w:spacing w:after="120" w:before="80" w:line="360"/>
        <w:jc w:val="both"/>
      </w:pPr>
      <w:r>
        <w:rPr>
          <w:rFonts w:ascii="Calibri" w:cs="Calibri" w:eastAsia="Calibri" w:hAnsi="Calibri"/>
          <w:sz w:val="24"/>
          <w:szCs w:val="24"/>
        </w:rPr>
        <w:t xml:space="preserve">Si en el ensayo te quedas por debajo de 6:30, alarga estos slides:</w:t>
      </w:r>
    </w:p>
    <w:p>
      <w:pPr>
        <w:pStyle w:val="ListParagraph"/>
        <w:numPr>
          <w:ilvl w:val="0"/>
          <w:numId w:val="2"/>
        </w:numPr>
        <w:spacing w:after="60" w:before="30"/>
      </w:pPr>
      <w:r>
        <w:rPr>
          <w:rFonts w:ascii="Calibri" w:cs="Calibri" w:eastAsia="Calibri" w:hAnsi="Calibri"/>
          <w:sz w:val="22"/>
          <w:szCs w:val="22"/>
        </w:rPr>
        <w:t xml:space="preserve">Slide 5 (Dataset): añade después del primer dato relevante: "Es decir, las comparaciones que se hagan sobre el dataset bruto serán sistemáticamente engañosas: un tercio del aparente catálogo F2P son productos sin audiencia." (+8 s)</w:t>
      </w:r>
    </w:p>
    <w:p>
      <w:pPr>
        <w:pStyle w:val="ListParagraph"/>
        <w:numPr>
          <w:ilvl w:val="0"/>
          <w:numId w:val="2"/>
        </w:numPr>
        <w:spacing w:after="60" w:before="30"/>
      </w:pPr>
      <w:r>
        <w:rPr>
          <w:rFonts w:ascii="Calibri" w:cs="Calibri" w:eastAsia="Calibri" w:hAnsi="Calibri"/>
          <w:sz w:val="22"/>
          <w:szCs w:val="22"/>
        </w:rPr>
        <w:t xml:space="preserve">Slide 8 (H3): después de listar los juegos, añade: "Estos cinco títulos suman más jugadores concurrentes que los próximos noventa juegos de pago juntos." (+10 s)</w:t>
      </w:r>
    </w:p>
    <w:p>
      <w:pPr>
        <w:spacing w:after="120" w:before="80" w:line="360"/>
        <w:jc w:val="both"/>
      </w:pPr>
      <w:r>
        <w:rPr>
          <w:rFonts w:ascii="Calibri" w:cs="Calibri" w:eastAsia="Calibri" w:hAnsi="Calibri"/>
          <w:sz w:val="24"/>
          <w:szCs w:val="24"/>
        </w:rPr>
        <w:t xml:space="preserve">Si te pasas de 7:15, acorta estos slides:</w:t>
      </w:r>
    </w:p>
    <w:p>
      <w:pPr>
        <w:pStyle w:val="ListParagraph"/>
        <w:numPr>
          <w:ilvl w:val="0"/>
          <w:numId w:val="2"/>
        </w:numPr>
        <w:spacing w:after="60" w:before="30"/>
      </w:pPr>
      <w:r>
        <w:rPr>
          <w:rFonts w:ascii="Calibri" w:cs="Calibri" w:eastAsia="Calibri" w:hAnsi="Calibri"/>
          <w:sz w:val="22"/>
          <w:szCs w:val="22"/>
        </w:rPr>
        <w:t xml:space="preserve">Slide 2: salta la mención de los pases de batalla. Pasa directo a "modelos económicamente opuestos".</w:t>
      </w:r>
    </w:p>
    <w:p>
      <w:pPr>
        <w:pStyle w:val="ListParagraph"/>
        <w:numPr>
          <w:ilvl w:val="0"/>
          <w:numId w:val="2"/>
        </w:numPr>
        <w:spacing w:after="60" w:before="30"/>
      </w:pPr>
      <w:r>
        <w:rPr>
          <w:rFonts w:ascii="Calibri" w:cs="Calibri" w:eastAsia="Calibri" w:hAnsi="Calibri"/>
          <w:sz w:val="22"/>
          <w:szCs w:val="22"/>
        </w:rPr>
        <w:t xml:space="preserve">Slide 7: omite la palabra "contundentes" y la frase final "F2P y de pago compiten en mundos paralelos".</w:t>
      </w:r>
    </w:p>
    <w:p>
      <w:pPr>
        <w:pStyle w:val="ListParagraph"/>
        <w:numPr>
          <w:ilvl w:val="0"/>
          <w:numId w:val="2"/>
        </w:numPr>
        <w:spacing w:after="60" w:before="30"/>
      </w:pPr>
      <w:r>
        <w:rPr>
          <w:rFonts w:ascii="Calibri" w:cs="Calibri" w:eastAsia="Calibri" w:hAnsi="Calibri"/>
          <w:sz w:val="22"/>
          <w:szCs w:val="22"/>
        </w:rPr>
        <w:t xml:space="preserve">Slide 11: di solo dos conclusiones en vez de tres. La que más se puede sacrificar es la segunda (calidad percibida).</w:t>
      </w:r>
    </w:p>
    <w:p>
      <w:pPr>
        <w:pStyle w:val="Heading2"/>
        <w:spacing w:after="100" w:before="200"/>
      </w:pPr>
      <w:r>
        <w:rPr>
          <w:rFonts w:ascii="Calibri" w:cs="Calibri" w:eastAsia="Calibri" w:hAnsi="Calibri"/>
          <w:b/>
          <w:bCs/>
          <w:color w:val="2A8A9A"/>
          <w:sz w:val="28"/>
          <w:szCs w:val="28"/>
        </w:rPr>
        <w:t xml:space="preserve">Ensayos</w:t>
      </w:r>
    </w:p>
    <w:p>
      <w:pPr>
        <w:pStyle w:val="ListParagraph"/>
        <w:numPr>
          <w:ilvl w:val="0"/>
          <w:numId w:val="2"/>
        </w:numPr>
        <w:spacing w:after="60" w:before="30"/>
      </w:pPr>
      <w:r>
        <w:rPr>
          <w:rFonts w:ascii="Calibri" w:cs="Calibri" w:eastAsia="Calibri" w:hAnsi="Calibri"/>
          <w:sz w:val="22"/>
          <w:szCs w:val="22"/>
        </w:rPr>
        <w:t xml:space="preserve">Ensayo 1 — leyendo el guion en voz alta sin cámara, con el cronómetro. Anota dónde te quedas largo o corto.</w:t>
      </w:r>
    </w:p>
    <w:p>
      <w:pPr>
        <w:pStyle w:val="ListParagraph"/>
        <w:numPr>
          <w:ilvl w:val="0"/>
          <w:numId w:val="2"/>
        </w:numPr>
        <w:spacing w:after="60" w:before="30"/>
      </w:pPr>
      <w:r>
        <w:rPr>
          <w:rFonts w:ascii="Calibri" w:cs="Calibri" w:eastAsia="Calibri" w:hAnsi="Calibri"/>
          <w:sz w:val="22"/>
          <w:szCs w:val="22"/>
        </w:rPr>
        <w:t xml:space="preserve">Ensayo 2 — con la presentación en pantalla, sin grabar todavía. Comprueba que cambias de slide en el segundo justo (cronograma resumen).</w:t>
      </w:r>
    </w:p>
    <w:p>
      <w:pPr>
        <w:pStyle w:val="ListParagraph"/>
        <w:numPr>
          <w:ilvl w:val="0"/>
          <w:numId w:val="2"/>
        </w:numPr>
        <w:spacing w:after="60" w:before="30"/>
      </w:pPr>
      <w:r>
        <w:rPr>
          <w:rFonts w:ascii="Calibri" w:cs="Calibri" w:eastAsia="Calibri" w:hAnsi="Calibri"/>
          <w:sz w:val="22"/>
          <w:szCs w:val="22"/>
        </w:rPr>
        <w:t xml:space="preserve">Ensayo 3 — grabación completa de prueba, mírala entera. Detecta tics, pausas largas o partes que suenan robóticas.</w:t>
      </w:r>
    </w:p>
    <w:p>
      <w:pPr>
        <w:pStyle w:val="ListParagraph"/>
        <w:numPr>
          <w:ilvl w:val="0"/>
          <w:numId w:val="2"/>
        </w:numPr>
        <w:spacing w:after="60" w:before="30"/>
      </w:pPr>
      <w:r>
        <w:rPr>
          <w:rFonts w:ascii="Calibri" w:cs="Calibri" w:eastAsia="Calibri" w:hAnsi="Calibri"/>
          <w:sz w:val="22"/>
          <w:szCs w:val="22"/>
        </w:rPr>
        <w:t xml:space="preserve">Toma definitiva — graba tras un descanso de 10 minutos. Sales mejor si no estás cansado de repetir.</w:t>
      </w:r>
    </w:p>
    <w:p>
      <w:pPr>
        <w:pStyle w:val="Heading2"/>
        <w:spacing w:after="100" w:before="200"/>
      </w:pPr>
      <w:r>
        <w:rPr>
          <w:rFonts w:ascii="Calibri" w:cs="Calibri" w:eastAsia="Calibri" w:hAnsi="Calibri"/>
          <w:b/>
          <w:bCs/>
          <w:color w:val="2A8A9A"/>
          <w:sz w:val="28"/>
          <w:szCs w:val="28"/>
        </w:rPr>
        <w:t xml:space="preserve">Consejos finales</w:t>
      </w:r>
    </w:p>
    <w:p>
      <w:pPr>
        <w:pStyle w:val="ListParagraph"/>
        <w:numPr>
          <w:ilvl w:val="0"/>
          <w:numId w:val="2"/>
        </w:numPr>
        <w:spacing w:after="60" w:before="30"/>
      </w:pPr>
      <w:r>
        <w:rPr>
          <w:rFonts w:ascii="Calibri" w:cs="Calibri" w:eastAsia="Calibri" w:hAnsi="Calibri"/>
          <w:sz w:val="22"/>
          <w:szCs w:val="22"/>
        </w:rPr>
        <w:t xml:space="preserve">Habla un punto más despacio de lo que crees natural. En cámara, el ritmo se acelera automáticamente.</w:t>
      </w:r>
    </w:p>
    <w:p>
      <w:pPr>
        <w:pStyle w:val="ListParagraph"/>
        <w:numPr>
          <w:ilvl w:val="0"/>
          <w:numId w:val="2"/>
        </w:numPr>
        <w:spacing w:after="60" w:before="30"/>
      </w:pPr>
      <w:r>
        <w:rPr>
          <w:rFonts w:ascii="Calibri" w:cs="Calibri" w:eastAsia="Calibri" w:hAnsi="Calibri"/>
          <w:sz w:val="22"/>
          <w:szCs w:val="22"/>
        </w:rPr>
        <w:t xml:space="preserve">Pausas cortas tras un dato relevante (después de "82,4 por ciento", después de "5 de los 10 juegos más jugados"). Le dan peso narrativo.</w:t>
      </w:r>
    </w:p>
    <w:p>
      <w:pPr>
        <w:pStyle w:val="ListParagraph"/>
        <w:numPr>
          <w:ilvl w:val="0"/>
          <w:numId w:val="2"/>
        </w:numPr>
        <w:spacing w:after="60" w:before="30"/>
      </w:pPr>
      <w:r>
        <w:rPr>
          <w:rFonts w:ascii="Calibri" w:cs="Calibri" w:eastAsia="Calibri" w:hAnsi="Calibri"/>
          <w:sz w:val="22"/>
          <w:szCs w:val="22"/>
        </w:rPr>
        <w:t xml:space="preserve">Si te trabas, no pares: rectifica y sigue. El corte final en post-edición arregla pequeños tropiezos.</w:t>
      </w:r>
    </w:p>
    <w:p>
      <w:pPr>
        <w:pStyle w:val="ListParagraph"/>
        <w:numPr>
          <w:ilvl w:val="0"/>
          <w:numId w:val="2"/>
        </w:numPr>
        <w:spacing w:after="60" w:before="30"/>
      </w:pPr>
      <w:r>
        <w:rPr>
          <w:rFonts w:ascii="Calibri" w:cs="Calibri" w:eastAsia="Calibri" w:hAnsi="Calibri"/>
          <w:sz w:val="22"/>
          <w:szCs w:val="22"/>
        </w:rPr>
        <w:t xml:space="preserve">Mira a la cámara, no a tu propia imagen en la pantalla. Suele estar arriba en el centro.</w:t>
      </w:r>
    </w:p>
    <w:p>
      <w:pPr>
        <w:pStyle w:val="ListParagraph"/>
        <w:numPr>
          <w:ilvl w:val="0"/>
          <w:numId w:val="2"/>
        </w:numPr>
        <w:spacing w:after="60" w:before="30"/>
      </w:pPr>
      <w:r>
        <w:rPr>
          <w:rFonts w:ascii="Calibri" w:cs="Calibri" w:eastAsia="Calibri" w:hAnsi="Calibri"/>
          <w:sz w:val="22"/>
          <w:szCs w:val="22"/>
        </w:rPr>
        <w:t xml:space="preserve">Al pronunciar nombres técnicos en inglés (Mann-Whitney, Peak CCU, Free-To-Play, Battle Royale), no exageres la fonética. Habla con naturalidad.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Guion del vídeo · EDA Steam F2P vs Pago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4E5F"/>
      <w:sz w:val="40"/>
      <w:szCs w:val="40"/>
    </w:rPr>
  </w:style>
  <w:style w:type="paragraph" w:styleId="Heading2">
    <w:name w:val="Heading 2"/>
    <w:basedOn w:val="Normal"/>
    <w:next w:val="Normal"/>
    <w:qFormat/>
    <w:pPr>
      <w:spacing w:after="100" w:before="200"/>
      <w:outlineLvl w:val="1"/>
    </w:pPr>
    <w:rPr>
      <w:rFonts w:ascii="Calibri" w:cs="Calibri" w:eastAsia="Calibri" w:hAnsi="Calibri"/>
      <w:b/>
      <w:bCs/>
      <w:color w:val="2A8A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del vídeo - EDA Steam F2P vs Pago</dc:title>
  <dc:creator>Isaac Frr</dc:creator>
  <cp:lastModifiedBy>Un-named</cp:lastModifiedBy>
  <cp:revision>1</cp:revision>
  <dcterms:created xsi:type="dcterms:W3CDTF">2026-05-20T14:11:07.122Z</dcterms:created>
  <dcterms:modified xsi:type="dcterms:W3CDTF">2026-05-20T14:11:07.134Z</dcterms:modified>
</cp:coreProperties>
</file>

<file path=docProps/custom.xml><?xml version="1.0" encoding="utf-8"?>
<Properties xmlns="http://schemas.openxmlformats.org/officeDocument/2006/custom-properties" xmlns:vt="http://schemas.openxmlformats.org/officeDocument/2006/docPropsVTypes"/>
</file>