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C5346" w14:textId="1CC39ABA" w:rsidR="001E172F" w:rsidRDefault="001E172F" w:rsidP="001E172F">
      <w:pPr>
        <w:jc w:val="center"/>
        <w:rPr>
          <w:sz w:val="44"/>
          <w:szCs w:val="44"/>
        </w:rPr>
      </w:pPr>
      <w:r>
        <w:rPr>
          <w:sz w:val="44"/>
          <w:szCs w:val="44"/>
        </w:rPr>
        <w:t>Estimativa de preços de NFT’s utilizando algoritmos de aprendizagem de máquina</w:t>
      </w:r>
    </w:p>
    <w:p w14:paraId="378C6A80" w14:textId="21428468" w:rsidR="00A654BB" w:rsidRDefault="00A654BB" w:rsidP="00A654BB">
      <w:pPr>
        <w:rPr>
          <w:sz w:val="44"/>
          <w:szCs w:val="44"/>
        </w:rPr>
      </w:pPr>
      <w:r>
        <w:rPr>
          <w:sz w:val="44"/>
          <w:szCs w:val="44"/>
        </w:rPr>
        <w:t>Autores</w:t>
      </w:r>
    </w:p>
    <w:p w14:paraId="1D341DD6" w14:textId="07229D81" w:rsidR="00A654BB" w:rsidRDefault="00A654BB">
      <w:r>
        <w:t xml:space="preserve">Isaac Miranda Camargos </w:t>
      </w:r>
      <w:r>
        <w:tab/>
      </w:r>
      <w:proofErr w:type="spellStart"/>
      <w:r>
        <w:t>Email</w:t>
      </w:r>
      <w:proofErr w:type="spellEnd"/>
      <w:r>
        <w:t>: isaacmirandacamargos@gmail.com</w:t>
      </w:r>
    </w:p>
    <w:p w14:paraId="0120B775" w14:textId="004E1340" w:rsidR="00A654BB" w:rsidRDefault="00A654BB">
      <w:r>
        <w:t xml:space="preserve">Nicole Maia </w:t>
      </w:r>
      <w:proofErr w:type="spellStart"/>
      <w:r>
        <w:t>Argondizzi</w:t>
      </w:r>
      <w:proofErr w:type="spellEnd"/>
      <w:r>
        <w:tab/>
      </w:r>
      <w:r>
        <w:tab/>
      </w:r>
      <w:proofErr w:type="spellStart"/>
      <w:r>
        <w:t>Email</w:t>
      </w:r>
      <w:proofErr w:type="spellEnd"/>
      <w:r>
        <w:t xml:space="preserve">: </w:t>
      </w:r>
      <w:r w:rsidR="00D90121" w:rsidRPr="00D90121">
        <w:t>nicolemaiaargondizzi02@gmail.com</w:t>
      </w:r>
    </w:p>
    <w:p w14:paraId="2D93A1DB" w14:textId="37BAB996" w:rsidR="00A654BB" w:rsidRDefault="00A654BB">
      <w:pPr>
        <w:rPr>
          <w:sz w:val="44"/>
          <w:szCs w:val="44"/>
        </w:rPr>
      </w:pPr>
      <w:r>
        <w:t xml:space="preserve">Leandro </w:t>
      </w:r>
      <w:proofErr w:type="spellStart"/>
      <w:r>
        <w:t>Cruvinel</w:t>
      </w:r>
      <w:proofErr w:type="spellEnd"/>
      <w:r>
        <w:t xml:space="preserve"> Lemes</w:t>
      </w:r>
      <w:r w:rsidR="00BE5EEF">
        <w:tab/>
      </w:r>
      <w:proofErr w:type="spellStart"/>
      <w:r w:rsidR="00BE5EEF">
        <w:t>Email</w:t>
      </w:r>
      <w:proofErr w:type="spellEnd"/>
      <w:r w:rsidR="00BE5EEF">
        <w:t xml:space="preserve">: </w:t>
      </w:r>
      <w:r w:rsidR="00BE5EEF" w:rsidRPr="00BE5EEF">
        <w:t>leandro.lemes@uftm.edu.br</w:t>
      </w:r>
    </w:p>
    <w:p w14:paraId="27ADA4CC" w14:textId="77777777" w:rsidR="00A654BB" w:rsidRDefault="00A654BB">
      <w:pPr>
        <w:rPr>
          <w:sz w:val="44"/>
          <w:szCs w:val="44"/>
        </w:rPr>
      </w:pPr>
    </w:p>
    <w:p w14:paraId="3647D815" w14:textId="13B52734" w:rsidR="000C3DE8" w:rsidRDefault="00503913">
      <w:pPr>
        <w:rPr>
          <w:sz w:val="44"/>
          <w:szCs w:val="44"/>
        </w:rPr>
      </w:pPr>
      <w:r>
        <w:rPr>
          <w:sz w:val="44"/>
          <w:szCs w:val="44"/>
        </w:rPr>
        <w:t>Resumo</w:t>
      </w:r>
    </w:p>
    <w:p w14:paraId="7D396BC7" w14:textId="3BAC043B" w:rsidR="000C3DE8" w:rsidRDefault="00503913">
      <w:pPr>
        <w:jc w:val="both"/>
      </w:pPr>
      <w:r>
        <w:t xml:space="preserve">O presente estudo </w:t>
      </w:r>
      <w:r w:rsidR="00486F44">
        <w:t>compara</w:t>
      </w:r>
      <w:r>
        <w:t xml:space="preserve"> os algoritmos Random Forest Regressor, </w:t>
      </w:r>
      <w:proofErr w:type="spellStart"/>
      <w:r>
        <w:t>Bagging</w:t>
      </w:r>
      <w:proofErr w:type="spellEnd"/>
      <w:r>
        <w:t xml:space="preserve"> Regressor, </w:t>
      </w:r>
      <w:proofErr w:type="spellStart"/>
      <w:r>
        <w:t>Gradient</w:t>
      </w:r>
      <w:proofErr w:type="spellEnd"/>
      <w:r>
        <w:t xml:space="preserve"> </w:t>
      </w:r>
      <w:proofErr w:type="spellStart"/>
      <w:r>
        <w:t>Boosting</w:t>
      </w:r>
      <w:proofErr w:type="spellEnd"/>
      <w:r>
        <w:t xml:space="preserve"> Regressor e </w:t>
      </w:r>
      <w:proofErr w:type="spellStart"/>
      <w:r>
        <w:t>Decision</w:t>
      </w:r>
      <w:proofErr w:type="spellEnd"/>
      <w:r>
        <w:t xml:space="preserve"> </w:t>
      </w:r>
      <w:proofErr w:type="spellStart"/>
      <w:r>
        <w:t>Tree</w:t>
      </w:r>
      <w:proofErr w:type="spellEnd"/>
      <w:r>
        <w:t xml:space="preserve"> Regresso</w:t>
      </w:r>
      <w:r w:rsidRPr="00486F44">
        <w:t>r,</w:t>
      </w:r>
      <w:r w:rsidR="00486F44">
        <w:t xml:space="preserve"> quanto à</w:t>
      </w:r>
      <w:r>
        <w:t xml:space="preserve"> estimativa de preço das cartas NFT's do jogo Gods </w:t>
      </w:r>
      <w:r w:rsidRPr="00486F44">
        <w:t xml:space="preserve">Unchained, considerando suas </w:t>
      </w:r>
      <w:r w:rsidR="00486F44">
        <w:t>características</w:t>
      </w:r>
      <w:r>
        <w:t>. O estudo foi dividido em três etapas: coleta, pré-processamento e modelagem dos dados. As métricas utilizadas foram o erro médio absoluto (EMA), erro médio quadrático (EMQ) e coeficiente de determinação (R</w:t>
      </w:r>
      <w:r>
        <w:rPr>
          <w:vertAlign w:val="superscript"/>
        </w:rPr>
        <w:t>2</w:t>
      </w:r>
      <w:r>
        <w:t xml:space="preserve">). Os resultados obtidos da precificação em Ethereum e GODS foram tecnicamente iguais para os correspondentes modelos. Com relação aos modelos, o Random Forest Regressor e </w:t>
      </w:r>
      <w:proofErr w:type="spellStart"/>
      <w:r>
        <w:t>Bagging</w:t>
      </w:r>
      <w:proofErr w:type="spellEnd"/>
      <w:r>
        <w:t xml:space="preserve"> Regressor obtiveram os melhores resultados nas duas precificações, sendo seus respectivos valores para ETH: EMA 0.124</w:t>
      </w:r>
      <w:r>
        <w:rPr>
          <w:rFonts w:cstheme="minorHAnsi"/>
        </w:rPr>
        <w:t>±</w:t>
      </w:r>
      <w:r>
        <w:t>0.008 e 0.130</w:t>
      </w:r>
      <w:r>
        <w:rPr>
          <w:rFonts w:cstheme="minorHAnsi"/>
        </w:rPr>
        <w:t>±0.009</w:t>
      </w:r>
      <w:r>
        <w:t>; EMQ 0,045</w:t>
      </w:r>
      <w:r>
        <w:rPr>
          <w:rFonts w:cstheme="minorHAnsi"/>
        </w:rPr>
        <w:t>±0.006</w:t>
      </w:r>
      <w:r>
        <w:t xml:space="preserve"> e 0.049</w:t>
      </w:r>
      <w:r>
        <w:rPr>
          <w:rFonts w:cstheme="minorHAnsi"/>
        </w:rPr>
        <w:t>±0.007</w:t>
      </w:r>
      <w:r>
        <w:t>; R</w:t>
      </w:r>
      <w:r>
        <w:rPr>
          <w:vertAlign w:val="superscript"/>
        </w:rPr>
        <w:t>2</w:t>
      </w:r>
      <w:r>
        <w:t xml:space="preserve"> 0.773</w:t>
      </w:r>
      <w:r>
        <w:rPr>
          <w:rFonts w:cstheme="minorHAnsi"/>
        </w:rPr>
        <w:t>±0.028</w:t>
      </w:r>
      <w:r>
        <w:t xml:space="preserve"> e 0.752</w:t>
      </w:r>
      <w:r>
        <w:rPr>
          <w:rFonts w:cstheme="minorHAnsi"/>
        </w:rPr>
        <w:t>±0.034</w:t>
      </w:r>
      <w:r>
        <w:t>. Ademais, os seguintes valores para GODS: EMA 0,125</w:t>
      </w:r>
      <w:r>
        <w:rPr>
          <w:rFonts w:cstheme="minorHAnsi"/>
        </w:rPr>
        <w:t>±0.007</w:t>
      </w:r>
      <w:r>
        <w:t xml:space="preserve"> e 0.1320.008; EMQ 0,044</w:t>
      </w:r>
      <w:r>
        <w:rPr>
          <w:rFonts w:cstheme="minorHAnsi"/>
        </w:rPr>
        <w:t>±0.005</w:t>
      </w:r>
      <w:r>
        <w:t xml:space="preserve"> e 0.049</w:t>
      </w:r>
      <w:r>
        <w:rPr>
          <w:rFonts w:cstheme="minorHAnsi"/>
        </w:rPr>
        <w:t>±0.006</w:t>
      </w:r>
      <w:r>
        <w:t>; R</w:t>
      </w:r>
      <w:r>
        <w:rPr>
          <w:vertAlign w:val="superscript"/>
        </w:rPr>
        <w:t>2</w:t>
      </w:r>
      <w:r>
        <w:t xml:space="preserve"> 0.778</w:t>
      </w:r>
      <w:r>
        <w:rPr>
          <w:rFonts w:cstheme="minorHAnsi"/>
        </w:rPr>
        <w:t>±0.025</w:t>
      </w:r>
      <w:r>
        <w:t xml:space="preserve"> e 0.753</w:t>
      </w:r>
      <w:r>
        <w:rPr>
          <w:rFonts w:cstheme="minorHAnsi"/>
        </w:rPr>
        <w:t>±0.030</w:t>
      </w:r>
      <w:r>
        <w:t>.</w:t>
      </w:r>
    </w:p>
    <w:p w14:paraId="1EE89C71" w14:textId="77777777" w:rsidR="000C3DE8" w:rsidRDefault="00503913">
      <w:pPr>
        <w:rPr>
          <w:sz w:val="44"/>
          <w:szCs w:val="44"/>
          <w:lang w:val="en-US"/>
        </w:rPr>
      </w:pPr>
      <w:proofErr w:type="spellStart"/>
      <w:r>
        <w:rPr>
          <w:sz w:val="44"/>
          <w:szCs w:val="44"/>
          <w:lang w:val="en-US"/>
        </w:rPr>
        <w:t>Resumo</w:t>
      </w:r>
      <w:proofErr w:type="spellEnd"/>
      <w:r>
        <w:rPr>
          <w:sz w:val="44"/>
          <w:szCs w:val="44"/>
          <w:lang w:val="en-US"/>
        </w:rPr>
        <w:t xml:space="preserve"> (abstract)</w:t>
      </w:r>
    </w:p>
    <w:p w14:paraId="5CC66B4C" w14:textId="0EA3EEC2" w:rsidR="000C3DE8" w:rsidRDefault="00503913">
      <w:pPr>
        <w:jc w:val="both"/>
        <w:rPr>
          <w:lang w:val="en-US"/>
        </w:rPr>
      </w:pPr>
      <w:bookmarkStart w:id="0" w:name="_Hlk104972298"/>
      <w:r>
        <w:rPr>
          <w:lang w:val="en-US"/>
        </w:rPr>
        <w:t xml:space="preserve">The present study </w:t>
      </w:r>
      <w:r w:rsidR="00486F44">
        <w:rPr>
          <w:lang w:val="en-US"/>
        </w:rPr>
        <w:t>compares</w:t>
      </w:r>
      <w:r>
        <w:rPr>
          <w:lang w:val="en-US"/>
        </w:rPr>
        <w:t xml:space="preserve"> the algorithms Random Forest Regressor, Bagging Regressor, Gradient Boosting Regressor and Decision Tree Regressor, in estimating the price of NFT's cards from the game Gods Unchained, considering their </w:t>
      </w:r>
      <w:r w:rsidR="00486F44">
        <w:rPr>
          <w:lang w:val="en-US"/>
        </w:rPr>
        <w:t>features</w:t>
      </w:r>
      <w:r>
        <w:rPr>
          <w:lang w:val="en-US"/>
        </w:rPr>
        <w:t xml:space="preserve">. The study was divided into three stages: data collection, pre-processing and modeling. The metrics used were the mean absolute error (AME), mean square error (EMQ) and coefficient of determination (R2). The results obtained from pricing on Ethereum and GODS were technically the same for the corresponding models. Regarding the models, Random Forest Regressor and Bagging Regressor obtained the best results in both pricing, with the respective values for ETH: EMA 0.124±0.008 and 0.130±0.009; CMS 0.045±0.006 and 0.049±0.007; R2 0.773±0.028 and 0.752±0.034. Furthermore, the following values for GODS: EMA 0.125±0.007 and 0.1320.008; CMS 0.044±0.005 and 0.049±0.006; R2 0.778±0.025 and 0.753±0.030. </w:t>
      </w:r>
    </w:p>
    <w:bookmarkEnd w:id="0"/>
    <w:p w14:paraId="430F310E" w14:textId="77777777" w:rsidR="000C3DE8" w:rsidRDefault="00503913">
      <w:pPr>
        <w:rPr>
          <w:sz w:val="44"/>
          <w:szCs w:val="44"/>
        </w:rPr>
      </w:pPr>
      <w:r>
        <w:rPr>
          <w:sz w:val="44"/>
          <w:szCs w:val="44"/>
        </w:rPr>
        <w:t>Introdução</w:t>
      </w:r>
    </w:p>
    <w:p w14:paraId="38D9B5E3" w14:textId="0A6ADC65" w:rsidR="000C3DE8" w:rsidRDefault="00503913">
      <w:pPr>
        <w:jc w:val="both"/>
      </w:pPr>
      <w:bookmarkStart w:id="1" w:name="_Hlk104972647"/>
      <w:r>
        <w:t xml:space="preserve">Neste estudo, </w:t>
      </w:r>
      <w:r w:rsidR="00427BB8">
        <w:t>o objeto de estudo trata</w:t>
      </w:r>
      <w:r>
        <w:t xml:space="preserve"> </w:t>
      </w:r>
      <w:r w:rsidR="00427BB8">
        <w:t>d</w:t>
      </w:r>
      <w:r>
        <w:t xml:space="preserve">as cartas NFT’s do jogo Gods Unchained. </w:t>
      </w:r>
      <w:r w:rsidR="00427BB8">
        <w:t xml:space="preserve">Em </w:t>
      </w:r>
      <w:r w:rsidR="00FD2895">
        <w:t xml:space="preserve">jogos envolvendo o comercio entre jogadores </w:t>
      </w:r>
      <w:r w:rsidR="00427BB8">
        <w:t>podem existir</w:t>
      </w:r>
      <w:r>
        <w:t xml:space="preserve"> manipulações de mercado e monopólios, </w:t>
      </w:r>
      <w:r w:rsidR="00FD2895">
        <w:t>desse modo,</w:t>
      </w:r>
      <w:r>
        <w:t xml:space="preserve"> casos em que indivíduos com grande capital compram tod</w:t>
      </w:r>
      <w:r w:rsidR="00FD2895">
        <w:t>os os itens</w:t>
      </w:r>
      <w:r>
        <w:t xml:space="preserve"> de um </w:t>
      </w:r>
      <w:r>
        <w:lastRenderedPageBreak/>
        <w:t xml:space="preserve">determinado tipo e </w:t>
      </w:r>
      <w:r w:rsidR="00FD2895">
        <w:t>o</w:t>
      </w:r>
      <w:r>
        <w:t>s revendem por altos valores</w:t>
      </w:r>
      <w:r w:rsidR="00FD2895">
        <w:t xml:space="preserve"> não são incomuns</w:t>
      </w:r>
      <w:r w:rsidR="00427BB8">
        <w:t>. As estimativas de preços geradas por modelos de aprendizagem de máquinas têm</w:t>
      </w:r>
      <w:r>
        <w:t xml:space="preserve"> como finalidade guiar e auxiliar os jogadore</w:t>
      </w:r>
      <w:r w:rsidR="00486F44">
        <w:t>s</w:t>
      </w:r>
      <w:r>
        <w:t xml:space="preserve">, </w:t>
      </w:r>
      <w:r w:rsidR="00427BB8">
        <w:t xml:space="preserve">sugerindo </w:t>
      </w:r>
      <w:r w:rsidR="002E7F60">
        <w:t>valores justos e atuais de compra e venda</w:t>
      </w:r>
      <w:r>
        <w:t xml:space="preserve"> com embasamento </w:t>
      </w:r>
      <w:r w:rsidR="002E7F60">
        <w:t>científico</w:t>
      </w:r>
      <w:r>
        <w:t>.</w:t>
      </w:r>
    </w:p>
    <w:p w14:paraId="5575C99B" w14:textId="1401D552" w:rsidR="000C3DE8" w:rsidRDefault="00503913">
      <w:pPr>
        <w:jc w:val="both"/>
      </w:pPr>
      <w:r>
        <w:t xml:space="preserve">Interessado no livre comércio digital de bens e serviços, em 2008, </w:t>
      </w:r>
      <w:proofErr w:type="spellStart"/>
      <w:r>
        <w:t>Satoshi</w:t>
      </w:r>
      <w:proofErr w:type="spellEnd"/>
      <w:r>
        <w:t xml:space="preserve"> </w:t>
      </w:r>
      <w:proofErr w:type="spellStart"/>
      <w:r>
        <w:t>Nakamoto</w:t>
      </w:r>
      <w:proofErr w:type="spellEnd"/>
      <w:r>
        <w:t xml:space="preserve"> em seu artigo “Bitcoin: A </w:t>
      </w:r>
      <w:proofErr w:type="spellStart"/>
      <w:r>
        <w:t>Peer-to-Peer</w:t>
      </w:r>
      <w:proofErr w:type="spellEnd"/>
      <w:r>
        <w:t xml:space="preserve"> </w:t>
      </w:r>
      <w:proofErr w:type="spellStart"/>
      <w:r>
        <w:t>Electronic</w:t>
      </w:r>
      <w:proofErr w:type="spellEnd"/>
      <w:r>
        <w:t xml:space="preserve"> Cash System” propõem um sistema de armazenamento de dados de</w:t>
      </w:r>
      <w:r w:rsidR="00427BB8">
        <w:t>s</w:t>
      </w:r>
      <w:r>
        <w:t xml:space="preserve">centralizados, a </w:t>
      </w:r>
      <w:proofErr w:type="spellStart"/>
      <w:r>
        <w:t>Blockchain</w:t>
      </w:r>
      <w:proofErr w:type="spellEnd"/>
      <w:r>
        <w:t xml:space="preserve">, e, como prova de seu trabalho, cria a primeira criptomoeda, o Bitcoin </w:t>
      </w:r>
      <w:r w:rsidR="00762EC7">
        <w:t>(</w:t>
      </w:r>
      <w:proofErr w:type="spellStart"/>
      <w:r w:rsidR="00762EC7">
        <w:t>Nakamoto</w:t>
      </w:r>
      <w:proofErr w:type="spellEnd"/>
      <w:r w:rsidR="00762EC7">
        <w:t>, 2008).</w:t>
      </w:r>
      <w:r>
        <w:t xml:space="preserve"> </w:t>
      </w:r>
    </w:p>
    <w:p w14:paraId="22C4280F" w14:textId="18EB4817" w:rsidR="000C3DE8" w:rsidRDefault="00503913">
      <w:pPr>
        <w:jc w:val="both"/>
      </w:pPr>
      <w:r>
        <w:t xml:space="preserve">Neste contexto, a rede </w:t>
      </w:r>
      <w:proofErr w:type="spellStart"/>
      <w:r>
        <w:t>Blockchain</w:t>
      </w:r>
      <w:proofErr w:type="spellEnd"/>
      <w:r>
        <w:t xml:space="preserve"> consiste em um banco de dados criptografados, composta por blocos de informações ligadas em cadeia, os quais cada bloco compreende múltiplas transações </w:t>
      </w:r>
      <w:r w:rsidR="00762EC7">
        <w:t>(</w:t>
      </w:r>
      <w:proofErr w:type="spellStart"/>
      <w:r w:rsidR="00762EC7">
        <w:t>Nofer</w:t>
      </w:r>
      <w:proofErr w:type="spellEnd"/>
      <w:r w:rsidR="00762EC7">
        <w:t xml:space="preserve">, </w:t>
      </w:r>
      <w:proofErr w:type="spellStart"/>
      <w:r w:rsidR="00762EC7">
        <w:t>Gomber</w:t>
      </w:r>
      <w:proofErr w:type="spellEnd"/>
      <w:r w:rsidR="00762EC7">
        <w:t xml:space="preserve">, </w:t>
      </w:r>
      <w:proofErr w:type="spellStart"/>
      <w:r w:rsidR="00762EC7">
        <w:t>Hinz</w:t>
      </w:r>
      <w:proofErr w:type="spellEnd"/>
      <w:r w:rsidR="00762EC7">
        <w:t xml:space="preserve"> &amp; </w:t>
      </w:r>
      <w:proofErr w:type="spellStart"/>
      <w:r w:rsidR="00762EC7">
        <w:t>Schiereck</w:t>
      </w:r>
      <w:proofErr w:type="spellEnd"/>
      <w:r w:rsidR="00F40FA5">
        <w:t>, 2017)</w:t>
      </w:r>
      <w:r>
        <w:t xml:space="preserve">. Ademais, o Bitcoin consiste em uma aplicação </w:t>
      </w:r>
      <w:r w:rsidR="002E7F60">
        <w:t>prática</w:t>
      </w:r>
      <w:r>
        <w:t xml:space="preserve"> da tecnologia da </w:t>
      </w:r>
      <w:proofErr w:type="spellStart"/>
      <w:r>
        <w:t>Blockchain</w:t>
      </w:r>
      <w:proofErr w:type="spellEnd"/>
      <w:r>
        <w:t xml:space="preserve"> e segue o padrão de tokens ERC-20</w:t>
      </w:r>
      <w:r w:rsidR="00F40FA5">
        <w:t xml:space="preserve"> (</w:t>
      </w:r>
      <w:proofErr w:type="spellStart"/>
      <w:r w:rsidR="00F40FA5">
        <w:t>Vogelsteller</w:t>
      </w:r>
      <w:proofErr w:type="spellEnd"/>
      <w:r w:rsidR="00F40FA5">
        <w:t xml:space="preserve"> &amp; </w:t>
      </w:r>
      <w:proofErr w:type="spellStart"/>
      <w:r w:rsidR="00F40FA5">
        <w:t>Buterin</w:t>
      </w:r>
      <w:proofErr w:type="spellEnd"/>
      <w:r w:rsidR="00F40FA5">
        <w:t>, 2015)</w:t>
      </w:r>
      <w:r>
        <w:t xml:space="preserve">, padrão este que confere a moeda virtual as mesmas características de uma moeda convencional. </w:t>
      </w:r>
    </w:p>
    <w:p w14:paraId="5A419EBD" w14:textId="71C756EE" w:rsidR="000C3DE8" w:rsidRDefault="00503913">
      <w:pPr>
        <w:jc w:val="both"/>
      </w:pPr>
      <w:r>
        <w:t>Por outro lado, os NFT’s (non-</w:t>
      </w:r>
      <w:proofErr w:type="spellStart"/>
      <w:r>
        <w:t>fungible</w:t>
      </w:r>
      <w:proofErr w:type="spellEnd"/>
      <w:r>
        <w:t xml:space="preserve"> tokens), cunhados no padrão de tokens ERC-721</w:t>
      </w:r>
      <w:r w:rsidR="00F40FA5">
        <w:t xml:space="preserve"> (</w:t>
      </w:r>
      <w:proofErr w:type="spellStart"/>
      <w:r w:rsidR="00F40FA5">
        <w:t>Entriken</w:t>
      </w:r>
      <w:proofErr w:type="spellEnd"/>
      <w:r w:rsidR="00F40FA5">
        <w:t>, Shirley, Evans &amp; Sachs, 2018)</w:t>
      </w:r>
      <w:r>
        <w:t xml:space="preserve">, são </w:t>
      </w:r>
      <w:r w:rsidR="00ED749A">
        <w:t>outra categoria</w:t>
      </w:r>
      <w:r>
        <w:t xml:space="preserve"> de </w:t>
      </w:r>
      <w:r w:rsidR="00863207">
        <w:t>criptomoeda</w:t>
      </w:r>
      <w:r w:rsidR="00587F5F">
        <w:t xml:space="preserve">, </w:t>
      </w:r>
      <w:r>
        <w:t xml:space="preserve">também criada usando a tecnologia </w:t>
      </w:r>
      <w:proofErr w:type="spellStart"/>
      <w:r>
        <w:t>Blockchain</w:t>
      </w:r>
      <w:proofErr w:type="spellEnd"/>
      <w:r>
        <w:t xml:space="preserve">. </w:t>
      </w:r>
      <w:r w:rsidR="00ED749A">
        <w:t>Os</w:t>
      </w:r>
      <w:r w:rsidR="00936634">
        <w:t xml:space="preserve"> NFT’s</w:t>
      </w:r>
      <w:r w:rsidR="00ED749A">
        <w:t xml:space="preserve"> se distinguem das criptomoedas tradicionais, pois cada um de seus tokens é único, podendo assim ser distinguido e rastreado por seu identificador. </w:t>
      </w:r>
      <w:r>
        <w:t>Além disso, em prática, os NFT’s podem ser qualquer tipo de bem digital, como imagens, músicas ou vídeos, os mais comuns</w:t>
      </w:r>
      <w:r w:rsidR="00FD2077">
        <w:t xml:space="preserve"> são</w:t>
      </w:r>
      <w:r>
        <w:t xml:space="preserve"> trabalhos de artes colecionáveis, objetos virtuais ou itens </w:t>
      </w:r>
      <w:r w:rsidR="00FD2077">
        <w:t>em</w:t>
      </w:r>
      <w:r>
        <w:t xml:space="preserve"> jogos.</w:t>
      </w:r>
    </w:p>
    <w:p w14:paraId="2273A9F4" w14:textId="724634F1" w:rsidR="000C3DE8" w:rsidRDefault="00503913">
      <w:pPr>
        <w:jc w:val="both"/>
      </w:pPr>
      <w:r>
        <w:t xml:space="preserve">Nesta pesquisa, motivados pela crescente valorização dos tokens NFT’s, temos como objetivo </w:t>
      </w:r>
      <w:r w:rsidR="00C4346A">
        <w:t xml:space="preserve">comparar os algoritmos Random Forest Regressor, </w:t>
      </w:r>
      <w:proofErr w:type="spellStart"/>
      <w:r w:rsidR="00C4346A">
        <w:t>Bagging</w:t>
      </w:r>
      <w:proofErr w:type="spellEnd"/>
      <w:r w:rsidR="00C4346A">
        <w:t xml:space="preserve"> Regressor, </w:t>
      </w:r>
      <w:proofErr w:type="spellStart"/>
      <w:r w:rsidR="00C4346A">
        <w:t>Gradient</w:t>
      </w:r>
      <w:proofErr w:type="spellEnd"/>
      <w:r w:rsidR="00C4346A">
        <w:t xml:space="preserve"> </w:t>
      </w:r>
      <w:proofErr w:type="spellStart"/>
      <w:r w:rsidR="00C4346A">
        <w:t>Boosting</w:t>
      </w:r>
      <w:proofErr w:type="spellEnd"/>
      <w:r w:rsidR="00C4346A">
        <w:t xml:space="preserve"> Regressor e </w:t>
      </w:r>
      <w:proofErr w:type="spellStart"/>
      <w:r w:rsidR="00C4346A">
        <w:t>Decision</w:t>
      </w:r>
      <w:proofErr w:type="spellEnd"/>
      <w:r w:rsidR="00C4346A">
        <w:t xml:space="preserve"> </w:t>
      </w:r>
      <w:proofErr w:type="spellStart"/>
      <w:r w:rsidR="00C4346A">
        <w:t>Tree</w:t>
      </w:r>
      <w:proofErr w:type="spellEnd"/>
      <w:r w:rsidR="00C4346A">
        <w:t xml:space="preserve"> Regresso</w:t>
      </w:r>
      <w:r w:rsidR="00C4346A" w:rsidRPr="00486F44">
        <w:t>r,</w:t>
      </w:r>
      <w:r w:rsidR="00C4346A">
        <w:t xml:space="preserve"> quanto à estimativa de preço das cartas NFT's do jogo Gods </w:t>
      </w:r>
      <w:r w:rsidR="00C4346A" w:rsidRPr="00486F44">
        <w:t xml:space="preserve">Unchained, considerando suas </w:t>
      </w:r>
      <w:r w:rsidR="00C4346A">
        <w:t>características.</w:t>
      </w:r>
      <w:r>
        <w:t xml:space="preserve"> Como fonte de dados, utilizaremos o jogo já citado que consiste em um jogo de cartas, onde cada carta possui atributos e efeitos únicos. Ademais, nosso objeto de estud</w:t>
      </w:r>
      <w:r w:rsidR="00C4346A">
        <w:t>o</w:t>
      </w:r>
      <w:r>
        <w:t xml:space="preserve"> </w:t>
      </w:r>
      <w:r w:rsidR="00C4346A">
        <w:t>são</w:t>
      </w:r>
      <w:r>
        <w:t xml:space="preserve"> as cartas NFT’s </w:t>
      </w:r>
      <w:r w:rsidR="00FD2077">
        <w:t xml:space="preserve">no </w:t>
      </w:r>
      <w:r>
        <w:t>jogo, descartando as outras cartas.</w:t>
      </w:r>
    </w:p>
    <w:bookmarkEnd w:id="1"/>
    <w:p w14:paraId="4A4BC1B1" w14:textId="77777777" w:rsidR="000C3DE8" w:rsidRDefault="00503913">
      <w:pPr>
        <w:rPr>
          <w:sz w:val="44"/>
          <w:szCs w:val="44"/>
        </w:rPr>
      </w:pPr>
      <w:r>
        <w:rPr>
          <w:sz w:val="44"/>
          <w:szCs w:val="44"/>
        </w:rPr>
        <w:t>Métodos</w:t>
      </w:r>
    </w:p>
    <w:p w14:paraId="57528B26" w14:textId="04DBAF5A" w:rsidR="000C3DE8" w:rsidRDefault="00503913">
      <w:pPr>
        <w:jc w:val="both"/>
      </w:pPr>
      <w:r>
        <w:t xml:space="preserve">O estudo foi dividido em três etapas: </w:t>
      </w:r>
      <w:r w:rsidR="00FD2077">
        <w:t>c</w:t>
      </w:r>
      <w:r>
        <w:t xml:space="preserve">oleta de dados, pré-processamento e modelagem dos dados. A linguagem de programação utilizada foi Python e as bibliotecas empregadas foram: </w:t>
      </w:r>
      <w:proofErr w:type="spellStart"/>
      <w:r>
        <w:t>requests</w:t>
      </w:r>
      <w:proofErr w:type="spellEnd"/>
      <w:r>
        <w:t xml:space="preserve">, </w:t>
      </w:r>
      <w:proofErr w:type="spellStart"/>
      <w:r>
        <w:t>json</w:t>
      </w:r>
      <w:proofErr w:type="spellEnd"/>
      <w:r>
        <w:t xml:space="preserve">, </w:t>
      </w:r>
      <w:proofErr w:type="spellStart"/>
      <w:r>
        <w:t>selenium</w:t>
      </w:r>
      <w:proofErr w:type="spellEnd"/>
      <w:r>
        <w:t xml:space="preserve"> e </w:t>
      </w:r>
      <w:proofErr w:type="spellStart"/>
      <w:r>
        <w:t>BeutifulSoup</w:t>
      </w:r>
      <w:proofErr w:type="spellEnd"/>
      <w:r>
        <w:t xml:space="preserve"> para coleta de dados; pandas, </w:t>
      </w:r>
      <w:proofErr w:type="spellStart"/>
      <w:r>
        <w:t>numpy</w:t>
      </w:r>
      <w:proofErr w:type="spellEnd"/>
      <w:r>
        <w:t xml:space="preserve">, </w:t>
      </w:r>
      <w:proofErr w:type="spellStart"/>
      <w:r>
        <w:t>nltk</w:t>
      </w:r>
      <w:proofErr w:type="spellEnd"/>
      <w:r>
        <w:t xml:space="preserve">, </w:t>
      </w:r>
      <w:proofErr w:type="spellStart"/>
      <w:r>
        <w:t>re</w:t>
      </w:r>
      <w:proofErr w:type="spellEnd"/>
      <w:r>
        <w:t xml:space="preserve">, </w:t>
      </w:r>
      <w:proofErr w:type="spellStart"/>
      <w:r>
        <w:t>string</w:t>
      </w:r>
      <w:proofErr w:type="spellEnd"/>
      <w:r>
        <w:t xml:space="preserve"> e </w:t>
      </w:r>
      <w:proofErr w:type="spellStart"/>
      <w:r>
        <w:t>sklearn</w:t>
      </w:r>
      <w:proofErr w:type="spellEnd"/>
      <w:r>
        <w:t xml:space="preserve"> para o pré-processamento; por fim, novamente, </w:t>
      </w:r>
      <w:proofErr w:type="spellStart"/>
      <w:r>
        <w:t>sklearn</w:t>
      </w:r>
      <w:proofErr w:type="spellEnd"/>
      <w:r>
        <w:t xml:space="preserve"> para aplicação e avaliação dos modelos de aprendizagem de máquina</w:t>
      </w:r>
      <w:r w:rsidR="00F40FA5">
        <w:t xml:space="preserve"> (</w:t>
      </w:r>
      <w:r w:rsidR="00880E98">
        <w:rPr>
          <w:rFonts w:ascii="Arial" w:hAnsi="Arial" w:cs="Arial"/>
          <w:color w:val="222222"/>
          <w:sz w:val="20"/>
          <w:szCs w:val="20"/>
          <w:shd w:val="clear" w:color="auto" w:fill="FFFFFF"/>
        </w:rPr>
        <w:t>Pedregosa et al., 2011)</w:t>
      </w:r>
      <w:r>
        <w:t>.</w:t>
      </w:r>
    </w:p>
    <w:p w14:paraId="6D40A6F6" w14:textId="667B7DFD" w:rsidR="00172861" w:rsidRDefault="00503913">
      <w:pPr>
        <w:jc w:val="both"/>
      </w:pPr>
      <w:r>
        <w:t>Neste contexto, a coleta de dados se iniciou obtendo informações básicas sobre as cartas, como identificador (</w:t>
      </w:r>
      <w:r w:rsidRPr="00BB3EAF">
        <w:rPr>
          <w:i/>
          <w:iCs/>
        </w:rPr>
        <w:t>id</w:t>
      </w:r>
      <w:r>
        <w:t xml:space="preserve">), nome, efeito, </w:t>
      </w:r>
      <w:r w:rsidR="00587F5F">
        <w:t>divindade,</w:t>
      </w:r>
      <w:r>
        <w:t xml:space="preserve"> raridade, tribo, mana, ataque, vida, tipo e </w:t>
      </w:r>
      <w:r w:rsidR="00587F5F">
        <w:t>coleção</w:t>
      </w:r>
      <w:r>
        <w:t xml:space="preserve">, para isto utilizou-se da API disponibilizada pela </w:t>
      </w:r>
      <w:proofErr w:type="spellStart"/>
      <w:r>
        <w:t>Immutable</w:t>
      </w:r>
      <w:proofErr w:type="spellEnd"/>
      <w:r>
        <w:t xml:space="preserve"> X</w:t>
      </w:r>
      <w:r w:rsidR="000356D1">
        <w:t xml:space="preserve"> </w:t>
      </w:r>
      <w:r w:rsidR="00880E98">
        <w:t>(</w:t>
      </w:r>
      <w:proofErr w:type="spellStart"/>
      <w:r w:rsidR="00880E98">
        <w:t>Conolly</w:t>
      </w:r>
      <w:proofErr w:type="spellEnd"/>
      <w:r w:rsidR="00880E98">
        <w:t>, Ferguson &amp; Ferguson, 2018)</w:t>
      </w:r>
      <w:r>
        <w:t>. Em seguida, foram coletadas informações acerca dos preços das cartas disponíveis em mercado, número de vendas semanais, variação de preços semanais</w:t>
      </w:r>
      <w:r w:rsidR="000356D1">
        <w:t>,</w:t>
      </w:r>
      <w:r>
        <w:t xml:space="preserve"> tendência, </w:t>
      </w:r>
      <w:r w:rsidR="00172861">
        <w:t>porcentagem de baralhos que contem a carta, porcentagem de vitória de baralhos que contem a carta</w:t>
      </w:r>
      <w:r w:rsidR="00172861" w:rsidRPr="00172861">
        <w:t xml:space="preserve"> </w:t>
      </w:r>
      <w:r w:rsidR="00172861">
        <w:t>e a porcentagem de vitória de baralhos que contem a carta contra baralhos que não contém a carta</w:t>
      </w:r>
      <w:r w:rsidR="006A3E15">
        <w:t>, para isto foi utilizado da mesma API. Ademais, o</w:t>
      </w:r>
      <w:r>
        <w:t xml:space="preserve">s </w:t>
      </w:r>
      <w:r w:rsidR="00BB3EAF">
        <w:t>valores</w:t>
      </w:r>
      <w:r>
        <w:t xml:space="preserve"> das cartas foram obtidos em Ethereum e GODS, </w:t>
      </w:r>
      <w:r w:rsidR="006A3E15">
        <w:t xml:space="preserve">sendo </w:t>
      </w:r>
      <w:r>
        <w:t xml:space="preserve">está </w:t>
      </w:r>
      <w:r w:rsidR="000E1ED6">
        <w:t>última</w:t>
      </w:r>
      <w:r>
        <w:t xml:space="preserve"> é uma criptomoeda desenvolvida pelos próprios criadores do jogo. </w:t>
      </w:r>
    </w:p>
    <w:p w14:paraId="6B47BBB1" w14:textId="4E8B108B" w:rsidR="000C3DE8" w:rsidRDefault="00503913" w:rsidP="00A3206B">
      <w:pPr>
        <w:jc w:val="both"/>
      </w:pPr>
      <w:r>
        <w:lastRenderedPageBreak/>
        <w:t xml:space="preserve">Encerrada a coleta de dados, o pré-processamento se iniciou organizando e concatenando os dados obtidos pelas diferentes fontes, nessa etapa foram removidas as informações duplicadas e descartadas as cartas que não são comercializáveis </w:t>
      </w:r>
      <w:r w:rsidR="00FD2077">
        <w:t>n</w:t>
      </w:r>
      <w:r>
        <w:t xml:space="preserve">o jogo. Foram removidas as cartas que possuem preços extremos, outliers, usando o </w:t>
      </w:r>
      <w:proofErr w:type="spellStart"/>
      <w:r>
        <w:t>boxplot</w:t>
      </w:r>
      <w:proofErr w:type="spellEnd"/>
      <w:r>
        <w:t xml:space="preserve">. Os dados de texto, com exceção do nome e efeito da carta, foram discretizados </w:t>
      </w:r>
      <w:r w:rsidR="003F5E77">
        <w:t>e</w:t>
      </w:r>
      <w:r w:rsidR="00093F45">
        <w:t>,</w:t>
      </w:r>
      <w:r w:rsidR="003F5E77">
        <w:t xml:space="preserve"> após isto</w:t>
      </w:r>
      <w:r w:rsidR="00093F45">
        <w:t>,</w:t>
      </w:r>
      <w:r w:rsidR="003F5E77">
        <w:t xml:space="preserve"> foram codificados usando o esquema de codificação “</w:t>
      </w:r>
      <w:proofErr w:type="spellStart"/>
      <w:r w:rsidR="003F5E77">
        <w:t>one</w:t>
      </w:r>
      <w:proofErr w:type="spellEnd"/>
      <w:r w:rsidR="003F5E77">
        <w:t xml:space="preserve">-hot”. Este sistema </w:t>
      </w:r>
      <w:r w:rsidR="00A3206B">
        <w:t xml:space="preserve">codifica e </w:t>
      </w:r>
      <w:r w:rsidR="003F5E77">
        <w:t xml:space="preserve">cria uma coluna </w:t>
      </w:r>
      <w:r w:rsidR="00A3206B">
        <w:t xml:space="preserve">binaria para cada dado discretizado e retorna uma matriz </w:t>
      </w:r>
      <w:r w:rsidR="00093F45">
        <w:t>destas colunas para todos os dados</w:t>
      </w:r>
      <w:r w:rsidR="00A3206B">
        <w:t>.</w:t>
      </w:r>
      <w:r>
        <w:t xml:space="preserve"> Os </w:t>
      </w:r>
      <w:r w:rsidR="00093F45">
        <w:t>valores</w:t>
      </w:r>
      <w:r>
        <w:t xml:space="preserve"> de ataque, vida, mana, </w:t>
      </w:r>
      <w:r w:rsidR="000E1ED6">
        <w:t>tendência</w:t>
      </w:r>
      <w:r>
        <w:t xml:space="preserve"> e número de vendas das cartas foram normalizados subtraindo a média e dividindo pelo desvio padrão.</w:t>
      </w:r>
      <w:r w:rsidR="000E1ED6">
        <w:t xml:space="preserve"> Por último</w:t>
      </w:r>
      <w:r w:rsidR="00093F45">
        <w:t>,</w:t>
      </w:r>
      <w:r w:rsidR="000E1ED6">
        <w:t xml:space="preserve"> </w:t>
      </w:r>
      <w:r>
        <w:t xml:space="preserve">os preços das cartas foram convertidos em dólar com base na cotação </w:t>
      </w:r>
      <w:r w:rsidR="00315815">
        <w:t>d</w:t>
      </w:r>
      <w:r w:rsidR="00093F45">
        <w:t>o dia 26/05/2022</w:t>
      </w:r>
      <w:r>
        <w:t xml:space="preserve"> das moedas Ethereum e GOD</w:t>
      </w:r>
      <w:r w:rsidR="00093F45">
        <w:t>S</w:t>
      </w:r>
      <w:r>
        <w:t xml:space="preserve"> e tratou-se a assimetria aplicando a função </w:t>
      </w:r>
      <w:proofErr w:type="spellStart"/>
      <w:r>
        <w:t>ln</w:t>
      </w:r>
      <w:proofErr w:type="spellEnd"/>
      <w:r>
        <w:t>(x+1), onde x é o preço de cada carta.</w:t>
      </w:r>
    </w:p>
    <w:p w14:paraId="50B785EB" w14:textId="50CF54A2" w:rsidR="00D074F3" w:rsidRDefault="00503913">
      <w:pPr>
        <w:jc w:val="both"/>
      </w:pPr>
      <w:r>
        <w:t>Além disso, o efeito da carta, por possui</w:t>
      </w:r>
      <w:r w:rsidR="00D074F3">
        <w:t>r</w:t>
      </w:r>
      <w:r>
        <w:t xml:space="preserve"> um grande volume de texto, foi tratado da seguinte forma: foram removidos caracteres especiais, quebras de linha e pontuações; foram retiradas as </w:t>
      </w:r>
      <w:proofErr w:type="spellStart"/>
      <w:r>
        <w:t>stopwords</w:t>
      </w:r>
      <w:commentRangeStart w:id="2"/>
      <w:proofErr w:type="spellEnd"/>
      <w:r>
        <w:t xml:space="preserve"> </w:t>
      </w:r>
      <w:r w:rsidR="00315815">
        <w:t>(</w:t>
      </w:r>
      <w:r>
        <w:t>palavras de alta frequência e pouca significância</w:t>
      </w:r>
      <w:r w:rsidR="00315815">
        <w:t>)</w:t>
      </w:r>
      <w:r>
        <w:t>;</w:t>
      </w:r>
      <w:commentRangeEnd w:id="2"/>
      <w:r>
        <w:commentReference w:id="2"/>
      </w:r>
      <w:r>
        <w:t xml:space="preserve"> </w:t>
      </w:r>
      <w:r w:rsidR="006D357C">
        <w:t xml:space="preserve">foram </w:t>
      </w:r>
      <w:r>
        <w:t>radicalizadas as palavras</w:t>
      </w:r>
      <w:r w:rsidR="006D357C">
        <w:t xml:space="preserve">; </w:t>
      </w:r>
      <w:r>
        <w:t>e, por fim</w:t>
      </w:r>
      <w:r w:rsidR="00093F45">
        <w:t>,</w:t>
      </w:r>
      <w:r>
        <w:t xml:space="preserve"> </w:t>
      </w:r>
      <w:r w:rsidR="006D357C">
        <w:t xml:space="preserve">foi </w:t>
      </w:r>
      <w:commentRangeStart w:id="3"/>
      <w:r>
        <w:t>vetorizado o texto</w:t>
      </w:r>
      <w:commentRangeEnd w:id="3"/>
      <w:r>
        <w:commentReference w:id="3"/>
      </w:r>
      <w:r>
        <w:t xml:space="preserve"> já tratado </w:t>
      </w:r>
      <w:r w:rsidR="00D074F3">
        <w:t>criando-se uma coluna para cada palavra distinta existente e atribuindo valores a cada correspondente descrição das cartas, seguindo a expressão abaixo.</w:t>
      </w:r>
    </w:p>
    <w:p w14:paraId="5FEB5100" w14:textId="576C8062" w:rsidR="00D074F3" w:rsidRDefault="00FD1348">
      <w:pPr>
        <w:jc w:val="both"/>
      </w:pPr>
      <m:oMathPara>
        <m:oMath>
          <m:r>
            <w:rPr>
              <w:rFonts w:ascii="Cambria Math" w:hAnsi="Cambria Math"/>
            </w:rPr>
            <m:t>wi,j=tfi,j×</m:t>
          </m:r>
          <m:r>
            <m:rPr>
              <m:sty m:val="p"/>
            </m:rPr>
            <w:rPr>
              <w:rFonts w:ascii="Cambria Math" w:hAnsi="Cambria Math"/>
            </w:rPr>
            <m:t>log⁡</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dfi</m:t>
              </m:r>
            </m:den>
          </m:f>
          <m:r>
            <w:rPr>
              <w:rFonts w:ascii="Cambria Math" w:hAnsi="Cambria Math"/>
            </w:rPr>
            <m:t>)</m:t>
          </m:r>
        </m:oMath>
      </m:oMathPara>
    </w:p>
    <w:p w14:paraId="39F86339" w14:textId="00A3F20C" w:rsidR="000C3DE8" w:rsidRDefault="00FD1348">
      <w:pPr>
        <w:jc w:val="both"/>
      </w:pPr>
      <w:r>
        <w:t>Onde (</w:t>
      </w:r>
      <w:proofErr w:type="spellStart"/>
      <w:proofErr w:type="gramStart"/>
      <w:r>
        <w:t>wi,j</w:t>
      </w:r>
      <w:proofErr w:type="spellEnd"/>
      <w:proofErr w:type="gramEnd"/>
      <w:r>
        <w:t>) é valor atribuído para a palavra i na descrição j, (</w:t>
      </w:r>
      <w:proofErr w:type="spellStart"/>
      <w:r>
        <w:t>tfi,j</w:t>
      </w:r>
      <w:proofErr w:type="spellEnd"/>
      <w:r>
        <w:t>) é a frequência da palavra i no texto j, (</w:t>
      </w:r>
      <w:proofErr w:type="spellStart"/>
      <w:r>
        <w:t>dfi</w:t>
      </w:r>
      <w:proofErr w:type="spellEnd"/>
      <w:r>
        <w:t>) é o n</w:t>
      </w:r>
      <w:r w:rsidR="00BB3EAF">
        <w:t>ú</w:t>
      </w:r>
      <w:r>
        <w:t xml:space="preserve">mero de documentos que contenham a palavra i e, por último, (N) é o </w:t>
      </w:r>
      <w:r w:rsidR="00BB3EAF">
        <w:t>número</w:t>
      </w:r>
      <w:r>
        <w:t xml:space="preserve"> total de descrições.</w:t>
      </w:r>
    </w:p>
    <w:p w14:paraId="0903472B" w14:textId="11B71AF5" w:rsidR="000C3DE8" w:rsidRDefault="00093F45">
      <w:pPr>
        <w:jc w:val="both"/>
      </w:pPr>
      <w:r>
        <w:t>Na</w:t>
      </w:r>
      <w:r w:rsidR="00503913">
        <w:t xml:space="preserve"> etapa de modelagem dos dados, aplicamos os modelos Random Forest Regressor, </w:t>
      </w:r>
      <w:proofErr w:type="spellStart"/>
      <w:r w:rsidR="00503913">
        <w:t>Bagging</w:t>
      </w:r>
      <w:proofErr w:type="spellEnd"/>
      <w:r w:rsidR="00503913">
        <w:t xml:space="preserve"> Regressor, </w:t>
      </w:r>
      <w:proofErr w:type="spellStart"/>
      <w:r w:rsidR="00503913">
        <w:t>Gradient</w:t>
      </w:r>
      <w:proofErr w:type="spellEnd"/>
      <w:r w:rsidR="00503913">
        <w:t xml:space="preserve"> </w:t>
      </w:r>
      <w:proofErr w:type="spellStart"/>
      <w:r w:rsidR="00503913">
        <w:t>Boosting</w:t>
      </w:r>
      <w:proofErr w:type="spellEnd"/>
      <w:r w:rsidR="00503913">
        <w:t xml:space="preserve"> Regressor e </w:t>
      </w:r>
      <w:proofErr w:type="spellStart"/>
      <w:r w:rsidR="00503913">
        <w:t>Decision</w:t>
      </w:r>
      <w:proofErr w:type="spellEnd"/>
      <w:r w:rsidR="00503913">
        <w:t xml:space="preserve"> </w:t>
      </w:r>
      <w:proofErr w:type="spellStart"/>
      <w:r w:rsidR="00503913">
        <w:t>Tree</w:t>
      </w:r>
      <w:proofErr w:type="spellEnd"/>
      <w:r w:rsidR="00503913">
        <w:t xml:space="preserve"> Regressor para estimar os preços dos NFT’s. As métricas utilizadas foram o erro médio absoluto (EMA), erro médio quadrático (EMQ) e o coeficiente de determinação (R</w:t>
      </w:r>
      <w:r w:rsidR="00503913">
        <w:rPr>
          <w:vertAlign w:val="superscript"/>
        </w:rPr>
        <w:t>2</w:t>
      </w:r>
      <w:r w:rsidR="00503913">
        <w:t>).</w:t>
      </w:r>
    </w:p>
    <w:p w14:paraId="5DCDFEB5" w14:textId="77777777" w:rsidR="000C3DE8" w:rsidRDefault="00503913">
      <w:pPr>
        <w:rPr>
          <w:sz w:val="44"/>
          <w:szCs w:val="44"/>
        </w:rPr>
      </w:pPr>
      <w:r>
        <w:rPr>
          <w:sz w:val="44"/>
          <w:szCs w:val="44"/>
        </w:rPr>
        <w:t>Analise e discussão de resultados</w:t>
      </w:r>
    </w:p>
    <w:p w14:paraId="42B14789" w14:textId="787C1229" w:rsidR="000C3DE8" w:rsidRDefault="00503913">
      <w:pPr>
        <w:jc w:val="both"/>
      </w:pPr>
      <w:r>
        <w:t xml:space="preserve">Os resultados obtidos foram divididos, entre a estimativa de preços das cartas em ETH e a estimativa de preços das cartas em GODS. Desse modo, na </w:t>
      </w:r>
      <w:r w:rsidR="00C4346A">
        <w:t>F</w:t>
      </w:r>
      <w:r>
        <w:t xml:space="preserve">igura 1 </w:t>
      </w:r>
      <w:r w:rsidR="007130DD">
        <w:t>constatamos</w:t>
      </w:r>
      <w:r>
        <w:t xml:space="preserve"> os resultados para o ETH.</w:t>
      </w:r>
    </w:p>
    <w:p w14:paraId="26122E2F" w14:textId="5622368C" w:rsidR="000C3DE8" w:rsidRDefault="00503913">
      <w:pPr>
        <w:jc w:val="center"/>
      </w:pPr>
      <w:r>
        <w:rPr>
          <w:noProof/>
        </w:rPr>
        <w:lastRenderedPageBreak/>
        <w:drawing>
          <wp:inline distT="0" distB="0" distL="0" distR="0" wp14:anchorId="015E7B73" wp14:editId="1F305545">
            <wp:extent cx="5424805" cy="2974975"/>
            <wp:effectExtent l="0" t="0" r="4445"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t>Figura 1</w:t>
      </w:r>
      <w:r w:rsidR="00C4346A">
        <w:t>: Métricas avaliadas dos modelos na estimativa de preços das cartas NFT’s em ETH.</w:t>
      </w:r>
    </w:p>
    <w:p w14:paraId="22828BA1" w14:textId="4AD1ABE0" w:rsidR="000C3DE8" w:rsidRDefault="00503913">
      <w:pPr>
        <w:jc w:val="both"/>
        <w:rPr>
          <w:rFonts w:cstheme="minorHAnsi"/>
        </w:rPr>
      </w:pPr>
      <w:r>
        <w:t>Ressaltando que quanto menor o EMA e</w:t>
      </w:r>
      <w:r w:rsidR="001B16FA">
        <w:t xml:space="preserve"> o</w:t>
      </w:r>
      <w:r>
        <w:t xml:space="preserve"> EMQ melhor, por outro lado</w:t>
      </w:r>
      <w:r w:rsidR="007130DD">
        <w:t>,</w:t>
      </w:r>
      <w:r>
        <w:t xml:space="preserve"> quanto maior o R</w:t>
      </w:r>
      <w:r>
        <w:rPr>
          <w:vertAlign w:val="superscript"/>
        </w:rPr>
        <w:t>2</w:t>
      </w:r>
      <w:r>
        <w:t xml:space="preserve"> melhor. Observou-se que para a precificação em Ethereum o melhor modelo, com os menores EMA, EMQ e maior R</w:t>
      </w:r>
      <w:r>
        <w:rPr>
          <w:vertAlign w:val="superscript"/>
        </w:rPr>
        <w:t xml:space="preserve">2 </w:t>
      </w:r>
      <w:r>
        <w:t>foi o Random Forest Regressor, sendo seus valores respectivamente 0.124</w:t>
      </w:r>
      <w:r>
        <w:rPr>
          <w:rFonts w:cstheme="minorHAnsi"/>
        </w:rPr>
        <w:t>±</w:t>
      </w:r>
      <w:r>
        <w:t>0.008, 0.045</w:t>
      </w:r>
      <w:r>
        <w:rPr>
          <w:rFonts w:cstheme="minorHAnsi"/>
        </w:rPr>
        <w:t>±0.006</w:t>
      </w:r>
      <w:r>
        <w:t>, 0.773</w:t>
      </w:r>
      <w:r>
        <w:rPr>
          <w:rFonts w:cstheme="minorHAnsi"/>
        </w:rPr>
        <w:t>±0.028</w:t>
      </w:r>
      <w:r>
        <w:t xml:space="preserve">. Ademais, o modelo com o maior EMA foi o </w:t>
      </w:r>
      <w:proofErr w:type="spellStart"/>
      <w:r>
        <w:t>Gradient</w:t>
      </w:r>
      <w:proofErr w:type="spellEnd"/>
      <w:r>
        <w:t xml:space="preserve"> </w:t>
      </w:r>
      <w:proofErr w:type="spellStart"/>
      <w:r>
        <w:t>Boosting</w:t>
      </w:r>
      <w:proofErr w:type="spellEnd"/>
      <w:r>
        <w:t xml:space="preserve"> Regressor, com 0.150</w:t>
      </w:r>
      <w:r>
        <w:rPr>
          <w:rFonts w:cstheme="minorHAnsi"/>
        </w:rPr>
        <w:t>±0.009</w:t>
      </w:r>
      <w:r>
        <w:t>. Por fim, o modelo com maior EMQ e menor R</w:t>
      </w:r>
      <w:r>
        <w:rPr>
          <w:vertAlign w:val="superscript"/>
        </w:rPr>
        <w:t xml:space="preserve">2 </w:t>
      </w:r>
      <w:r>
        <w:t xml:space="preserve">foi o </w:t>
      </w:r>
      <w:proofErr w:type="spellStart"/>
      <w:r>
        <w:t>Decision</w:t>
      </w:r>
      <w:proofErr w:type="spellEnd"/>
      <w:r>
        <w:t xml:space="preserve"> </w:t>
      </w:r>
      <w:proofErr w:type="spellStart"/>
      <w:r>
        <w:t>Tree</w:t>
      </w:r>
      <w:proofErr w:type="spellEnd"/>
      <w:r>
        <w:t xml:space="preserve"> Regressor sendo eles, respectivamente, 0.074</w:t>
      </w:r>
      <w:r>
        <w:rPr>
          <w:rFonts w:cstheme="minorHAnsi"/>
        </w:rPr>
        <w:t>±0.015 e 0.624±0.084.</w:t>
      </w:r>
    </w:p>
    <w:p w14:paraId="05336F11" w14:textId="3463E7D6" w:rsidR="000C3DE8" w:rsidRDefault="00503913">
      <w:pPr>
        <w:jc w:val="both"/>
        <w:rPr>
          <w:rFonts w:cstheme="minorHAnsi"/>
        </w:rPr>
      </w:pPr>
      <w:r>
        <w:rPr>
          <w:rFonts w:cstheme="minorHAnsi"/>
        </w:rPr>
        <w:t>Os resultados para o GODS podem ser</w:t>
      </w:r>
      <w:r w:rsidR="007130DD">
        <w:rPr>
          <w:rFonts w:cstheme="minorHAnsi"/>
        </w:rPr>
        <w:t xml:space="preserve"> constatados</w:t>
      </w:r>
      <w:r>
        <w:rPr>
          <w:rFonts w:cstheme="minorHAnsi"/>
        </w:rPr>
        <w:t xml:space="preserve"> na </w:t>
      </w:r>
      <w:r w:rsidR="001B16FA">
        <w:rPr>
          <w:rFonts w:cstheme="minorHAnsi"/>
        </w:rPr>
        <w:t>F</w:t>
      </w:r>
      <w:r>
        <w:rPr>
          <w:rFonts w:cstheme="minorHAnsi"/>
        </w:rPr>
        <w:t>igura 2. Foi constatado que o modelo com melhores resultados foi o Random Forest Regressor, com EMA, EMQ e R</w:t>
      </w:r>
      <w:r>
        <w:rPr>
          <w:rFonts w:cstheme="minorHAnsi"/>
          <w:vertAlign w:val="superscript"/>
        </w:rPr>
        <w:t>2</w:t>
      </w:r>
      <w:r>
        <w:rPr>
          <w:rFonts w:cstheme="minorHAnsi"/>
        </w:rPr>
        <w:t xml:space="preserve"> respectivamente 0.125 ± 0.007, 0.044 ± 0.005, 0.778 ± 0.025. O modelo com maior EMA foi o </w:t>
      </w:r>
      <w:proofErr w:type="spellStart"/>
      <w:r>
        <w:rPr>
          <w:rFonts w:cstheme="minorHAnsi"/>
        </w:rPr>
        <w:t>Gradient</w:t>
      </w:r>
      <w:proofErr w:type="spellEnd"/>
      <w:r>
        <w:rPr>
          <w:rFonts w:cstheme="minorHAnsi"/>
        </w:rPr>
        <w:t xml:space="preserve"> </w:t>
      </w:r>
      <w:proofErr w:type="spellStart"/>
      <w:r>
        <w:rPr>
          <w:rFonts w:cstheme="minorHAnsi"/>
        </w:rPr>
        <w:t>Boosting</w:t>
      </w:r>
      <w:proofErr w:type="spellEnd"/>
      <w:r>
        <w:rPr>
          <w:rFonts w:cstheme="minorHAnsi"/>
        </w:rPr>
        <w:t xml:space="preserve"> Regressor, com 0.152 ± 0.007. E, novamente, o modelo com maior EMQ e menor R</w:t>
      </w:r>
      <w:r>
        <w:rPr>
          <w:rFonts w:cstheme="minorHAnsi"/>
          <w:vertAlign w:val="superscript"/>
        </w:rPr>
        <w:t>2</w:t>
      </w:r>
      <w:r>
        <w:rPr>
          <w:rFonts w:cstheme="minorHAnsi"/>
        </w:rPr>
        <w:t xml:space="preserve"> foi o </w:t>
      </w:r>
      <w:proofErr w:type="spellStart"/>
      <w:r>
        <w:rPr>
          <w:rFonts w:cstheme="minorHAnsi"/>
        </w:rPr>
        <w:t>Decision</w:t>
      </w:r>
      <w:proofErr w:type="spellEnd"/>
      <w:r>
        <w:rPr>
          <w:rFonts w:cstheme="minorHAnsi"/>
        </w:rPr>
        <w:t xml:space="preserve"> </w:t>
      </w:r>
      <w:proofErr w:type="spellStart"/>
      <w:r>
        <w:rPr>
          <w:rFonts w:cstheme="minorHAnsi"/>
        </w:rPr>
        <w:t>Tree</w:t>
      </w:r>
      <w:proofErr w:type="spellEnd"/>
      <w:r>
        <w:rPr>
          <w:rFonts w:cstheme="minorHAnsi"/>
        </w:rPr>
        <w:t xml:space="preserve"> Regressor sendo eles, respectivamente, 0.073 ± 0.014 e 0.627 ± 0.079.</w:t>
      </w:r>
    </w:p>
    <w:p w14:paraId="21388EE8" w14:textId="5C5F6B05" w:rsidR="000C3DE8" w:rsidRDefault="00503913">
      <w:pPr>
        <w:jc w:val="both"/>
        <w:rPr>
          <w:rFonts w:cstheme="minorHAnsi"/>
        </w:rPr>
      </w:pPr>
      <w:r>
        <w:rPr>
          <w:rFonts w:cstheme="minorHAnsi"/>
        </w:rPr>
        <w:t xml:space="preserve">Os resultados adquiridos também podem ser consultados nas </w:t>
      </w:r>
      <w:r w:rsidR="001B16FA">
        <w:rPr>
          <w:rFonts w:cstheme="minorHAnsi"/>
        </w:rPr>
        <w:t>T</w:t>
      </w:r>
      <w:r>
        <w:rPr>
          <w:rFonts w:cstheme="minorHAnsi"/>
        </w:rPr>
        <w:t xml:space="preserve">abelas 1 e </w:t>
      </w:r>
      <w:r w:rsidR="001B16FA">
        <w:rPr>
          <w:rFonts w:cstheme="minorHAnsi"/>
        </w:rPr>
        <w:t>T</w:t>
      </w:r>
      <w:r>
        <w:rPr>
          <w:rFonts w:cstheme="minorHAnsi"/>
        </w:rPr>
        <w:t>abelas 2, que acrescentam informações acerca dos desvios padrões. Com base nisto, foi analisado que o modelo com menores desvios padrões foi o Random Forest Regressor, nas duas estimativas de preço.</w:t>
      </w:r>
    </w:p>
    <w:p w14:paraId="11CF28CF" w14:textId="6F4ACA0B" w:rsidR="000C3DE8" w:rsidRDefault="00503913">
      <w:pPr>
        <w:jc w:val="center"/>
        <w:rPr>
          <w:rFonts w:cstheme="minorHAnsi"/>
        </w:rPr>
      </w:pPr>
      <w:r>
        <w:rPr>
          <w:noProof/>
        </w:rPr>
        <w:lastRenderedPageBreak/>
        <w:drawing>
          <wp:inline distT="0" distB="0" distL="0" distR="0" wp14:anchorId="7FCCD104" wp14:editId="6F7B7CCD">
            <wp:extent cx="5400040" cy="289306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rFonts w:cstheme="minorHAnsi"/>
        </w:rPr>
        <w:br/>
        <w:t>Figura 2</w:t>
      </w:r>
      <w:r w:rsidR="001B16FA">
        <w:rPr>
          <w:rFonts w:cstheme="minorHAnsi"/>
        </w:rPr>
        <w:t xml:space="preserve">: </w:t>
      </w:r>
      <w:r w:rsidR="001B16FA">
        <w:t>Métricas avaliadas dos modelos na estimativa de preços das cartas NFT’s em GODS.</w:t>
      </w:r>
    </w:p>
    <w:p w14:paraId="535D4E76" w14:textId="77777777" w:rsidR="000C3DE8" w:rsidRDefault="000C3DE8">
      <w:pPr>
        <w:rPr>
          <w:rFonts w:cstheme="minorHAnsi"/>
        </w:rPr>
      </w:pPr>
    </w:p>
    <w:tbl>
      <w:tblPr>
        <w:tblW w:w="8700" w:type="dxa"/>
        <w:jc w:val="center"/>
        <w:tblCellMar>
          <w:left w:w="70" w:type="dxa"/>
          <w:right w:w="70" w:type="dxa"/>
        </w:tblCellMar>
        <w:tblLook w:val="04A0" w:firstRow="1" w:lastRow="0" w:firstColumn="1" w:lastColumn="0" w:noHBand="0" w:noVBand="1"/>
      </w:tblPr>
      <w:tblGrid>
        <w:gridCol w:w="3561"/>
        <w:gridCol w:w="1713"/>
        <w:gridCol w:w="1713"/>
        <w:gridCol w:w="1713"/>
      </w:tblGrid>
      <w:tr w:rsidR="000C3DE8" w14:paraId="077B2997" w14:textId="77777777">
        <w:trPr>
          <w:trHeight w:val="398"/>
          <w:jc w:val="center"/>
        </w:trPr>
        <w:tc>
          <w:tcPr>
            <w:tcW w:w="8699" w:type="dxa"/>
            <w:gridSpan w:val="4"/>
            <w:tcBorders>
              <w:bottom w:val="single" w:sz="8" w:space="0" w:color="000000"/>
            </w:tcBorders>
            <w:shd w:val="clear" w:color="auto" w:fill="auto"/>
            <w:vAlign w:val="center"/>
          </w:tcPr>
          <w:p w14:paraId="3D97E6B9" w14:textId="77777777" w:rsidR="000C3DE8" w:rsidRDefault="00503913">
            <w:pPr>
              <w:spacing w:after="0" w:line="240" w:lineRule="auto"/>
              <w:jc w:val="center"/>
              <w:rPr>
                <w:rFonts w:ascii="Calibri" w:eastAsia="Times New Roman" w:hAnsi="Calibri" w:cs="Calibri"/>
                <w:b/>
                <w:bCs/>
                <w:color w:val="000000"/>
                <w:lang w:eastAsia="pt-BR"/>
              </w:rPr>
            </w:pPr>
            <w:r>
              <w:rPr>
                <w:rFonts w:eastAsia="Times New Roman" w:cs="Calibri"/>
                <w:b/>
                <w:bCs/>
                <w:color w:val="000000"/>
                <w:lang w:eastAsia="pt-BR"/>
              </w:rPr>
              <w:t>ETH</w:t>
            </w:r>
          </w:p>
        </w:tc>
      </w:tr>
      <w:tr w:rsidR="000C3DE8" w14:paraId="76502885" w14:textId="77777777">
        <w:trPr>
          <w:trHeight w:val="379"/>
          <w:jc w:val="center"/>
        </w:trPr>
        <w:tc>
          <w:tcPr>
            <w:tcW w:w="3560" w:type="dxa"/>
            <w:tcBorders>
              <w:bottom w:val="single" w:sz="4" w:space="0" w:color="000000"/>
              <w:right w:val="single" w:sz="4" w:space="0" w:color="000000"/>
            </w:tcBorders>
            <w:shd w:val="clear" w:color="auto" w:fill="auto"/>
            <w:vAlign w:val="center"/>
          </w:tcPr>
          <w:p w14:paraId="1AF74C4A" w14:textId="77777777" w:rsidR="000C3DE8" w:rsidRDefault="00503913">
            <w:pPr>
              <w:spacing w:after="0" w:line="240" w:lineRule="auto"/>
              <w:jc w:val="center"/>
              <w:rPr>
                <w:rFonts w:ascii="Calibri" w:eastAsia="Times New Roman" w:hAnsi="Calibri" w:cs="Calibri"/>
                <w:color w:val="000000"/>
                <w:lang w:eastAsia="pt-BR"/>
              </w:rPr>
            </w:pPr>
            <w:r>
              <w:rPr>
                <w:rFonts w:eastAsia="Times New Roman" w:cs="Calibri"/>
                <w:color w:val="000000"/>
                <w:lang w:eastAsia="pt-BR"/>
              </w:rPr>
              <w:t>Modelos</w:t>
            </w:r>
          </w:p>
        </w:tc>
        <w:tc>
          <w:tcPr>
            <w:tcW w:w="1713" w:type="dxa"/>
            <w:tcBorders>
              <w:bottom w:val="single" w:sz="4" w:space="0" w:color="000000"/>
              <w:right w:val="single" w:sz="4" w:space="0" w:color="000000"/>
            </w:tcBorders>
            <w:shd w:val="clear" w:color="auto" w:fill="auto"/>
            <w:vAlign w:val="center"/>
          </w:tcPr>
          <w:p w14:paraId="1C3682D5" w14:textId="77777777" w:rsidR="000C3DE8" w:rsidRDefault="00503913">
            <w:pPr>
              <w:spacing w:after="0" w:line="240" w:lineRule="auto"/>
              <w:jc w:val="center"/>
              <w:rPr>
                <w:rFonts w:ascii="Calibri" w:eastAsia="Times New Roman" w:hAnsi="Calibri" w:cs="Calibri"/>
                <w:color w:val="000000"/>
                <w:lang w:eastAsia="pt-BR"/>
              </w:rPr>
            </w:pPr>
            <w:r>
              <w:rPr>
                <w:rFonts w:eastAsia="Times New Roman" w:cs="Calibri"/>
                <w:color w:val="000000"/>
                <w:lang w:eastAsia="pt-BR"/>
              </w:rPr>
              <w:t>EMA</w:t>
            </w:r>
          </w:p>
        </w:tc>
        <w:tc>
          <w:tcPr>
            <w:tcW w:w="1713" w:type="dxa"/>
            <w:tcBorders>
              <w:bottom w:val="single" w:sz="4" w:space="0" w:color="000000"/>
              <w:right w:val="single" w:sz="4" w:space="0" w:color="000000"/>
            </w:tcBorders>
            <w:shd w:val="clear" w:color="auto" w:fill="auto"/>
            <w:vAlign w:val="center"/>
          </w:tcPr>
          <w:p w14:paraId="7245F7F2" w14:textId="77777777" w:rsidR="000C3DE8" w:rsidRDefault="00503913">
            <w:pPr>
              <w:spacing w:after="0" w:line="240" w:lineRule="auto"/>
              <w:jc w:val="center"/>
              <w:rPr>
                <w:rFonts w:ascii="Calibri" w:eastAsia="Times New Roman" w:hAnsi="Calibri" w:cs="Calibri"/>
                <w:color w:val="000000"/>
                <w:lang w:eastAsia="pt-BR"/>
              </w:rPr>
            </w:pPr>
            <w:r>
              <w:rPr>
                <w:rFonts w:eastAsia="Times New Roman" w:cs="Calibri"/>
                <w:color w:val="000000"/>
                <w:lang w:eastAsia="pt-BR"/>
              </w:rPr>
              <w:t>EMQ</w:t>
            </w:r>
          </w:p>
        </w:tc>
        <w:tc>
          <w:tcPr>
            <w:tcW w:w="1713" w:type="dxa"/>
            <w:tcBorders>
              <w:bottom w:val="single" w:sz="4" w:space="0" w:color="000000"/>
            </w:tcBorders>
            <w:shd w:val="clear" w:color="auto" w:fill="auto"/>
            <w:vAlign w:val="center"/>
          </w:tcPr>
          <w:p w14:paraId="01460590" w14:textId="77777777" w:rsidR="000C3DE8" w:rsidRDefault="00503913">
            <w:pPr>
              <w:spacing w:after="0" w:line="240" w:lineRule="auto"/>
              <w:jc w:val="center"/>
              <w:rPr>
                <w:rFonts w:ascii="Calibri" w:eastAsia="Times New Roman" w:hAnsi="Calibri" w:cs="Calibri"/>
                <w:color w:val="000000"/>
                <w:lang w:eastAsia="pt-BR"/>
              </w:rPr>
            </w:pPr>
            <w:r>
              <w:rPr>
                <w:rFonts w:eastAsia="Times New Roman" w:cs="Calibri"/>
                <w:color w:val="000000"/>
                <w:lang w:eastAsia="pt-BR"/>
              </w:rPr>
              <w:t>R²</w:t>
            </w:r>
          </w:p>
        </w:tc>
      </w:tr>
      <w:tr w:rsidR="000C3DE8" w14:paraId="2914CB7C" w14:textId="77777777">
        <w:trPr>
          <w:trHeight w:val="379"/>
          <w:jc w:val="center"/>
        </w:trPr>
        <w:tc>
          <w:tcPr>
            <w:tcW w:w="3560" w:type="dxa"/>
            <w:tcBorders>
              <w:bottom w:val="single" w:sz="4" w:space="0" w:color="000000"/>
              <w:right w:val="single" w:sz="4" w:space="0" w:color="000000"/>
            </w:tcBorders>
            <w:shd w:val="clear" w:color="auto" w:fill="auto"/>
            <w:vAlign w:val="center"/>
          </w:tcPr>
          <w:p w14:paraId="7C2F73E5" w14:textId="77777777" w:rsidR="000C3DE8" w:rsidRDefault="00503913">
            <w:pPr>
              <w:spacing w:after="0" w:line="240" w:lineRule="auto"/>
              <w:rPr>
                <w:rFonts w:ascii="Calibri" w:eastAsia="Times New Roman" w:hAnsi="Calibri" w:cs="Calibri"/>
                <w:color w:val="000000"/>
                <w:lang w:eastAsia="pt-BR"/>
              </w:rPr>
            </w:pPr>
            <w:proofErr w:type="spellStart"/>
            <w:r>
              <w:rPr>
                <w:rFonts w:eastAsia="Times New Roman" w:cs="Calibri"/>
                <w:color w:val="000000"/>
                <w:lang w:eastAsia="pt-BR"/>
              </w:rPr>
              <w:t>Bagging</w:t>
            </w:r>
            <w:proofErr w:type="spellEnd"/>
            <w:r>
              <w:rPr>
                <w:rFonts w:eastAsia="Times New Roman" w:cs="Calibri"/>
                <w:color w:val="000000"/>
                <w:lang w:eastAsia="pt-BR"/>
              </w:rPr>
              <w:t xml:space="preserve"> Regressor</w:t>
            </w:r>
          </w:p>
        </w:tc>
        <w:tc>
          <w:tcPr>
            <w:tcW w:w="1713" w:type="dxa"/>
            <w:tcBorders>
              <w:bottom w:val="single" w:sz="4" w:space="0" w:color="000000"/>
              <w:right w:val="single" w:sz="4" w:space="0" w:color="000000"/>
            </w:tcBorders>
            <w:shd w:val="clear" w:color="auto" w:fill="auto"/>
            <w:vAlign w:val="center"/>
          </w:tcPr>
          <w:p w14:paraId="437E0E0E" w14:textId="77777777" w:rsidR="000C3DE8" w:rsidRDefault="00503913">
            <w:pPr>
              <w:spacing w:after="0" w:line="240" w:lineRule="auto"/>
              <w:jc w:val="center"/>
              <w:rPr>
                <w:rFonts w:ascii="Calibri" w:eastAsia="Times New Roman" w:hAnsi="Calibri" w:cs="Calibri"/>
                <w:color w:val="000000"/>
                <w:lang w:eastAsia="pt-BR"/>
              </w:rPr>
            </w:pPr>
            <w:r>
              <w:rPr>
                <w:rFonts w:eastAsia="Times New Roman" w:cs="Calibri"/>
                <w:color w:val="000000"/>
                <w:lang w:eastAsia="pt-BR"/>
              </w:rPr>
              <w:t>0,130 ± 0,009</w:t>
            </w:r>
          </w:p>
        </w:tc>
        <w:tc>
          <w:tcPr>
            <w:tcW w:w="1713" w:type="dxa"/>
            <w:tcBorders>
              <w:bottom w:val="single" w:sz="4" w:space="0" w:color="000000"/>
              <w:right w:val="single" w:sz="4" w:space="0" w:color="000000"/>
            </w:tcBorders>
            <w:shd w:val="clear" w:color="auto" w:fill="auto"/>
            <w:vAlign w:val="center"/>
          </w:tcPr>
          <w:p w14:paraId="55EDFE49" w14:textId="77777777" w:rsidR="000C3DE8" w:rsidRDefault="00503913">
            <w:pPr>
              <w:spacing w:after="0" w:line="240" w:lineRule="auto"/>
              <w:jc w:val="center"/>
              <w:rPr>
                <w:rFonts w:ascii="Calibri" w:eastAsia="Times New Roman" w:hAnsi="Calibri" w:cs="Calibri"/>
                <w:color w:val="000000"/>
                <w:lang w:eastAsia="pt-BR"/>
              </w:rPr>
            </w:pPr>
            <w:r>
              <w:rPr>
                <w:rFonts w:eastAsia="Times New Roman" w:cs="Calibri"/>
                <w:color w:val="000000"/>
                <w:lang w:eastAsia="pt-BR"/>
              </w:rPr>
              <w:t>0,049 ± 0.007</w:t>
            </w:r>
          </w:p>
        </w:tc>
        <w:tc>
          <w:tcPr>
            <w:tcW w:w="1713" w:type="dxa"/>
            <w:tcBorders>
              <w:bottom w:val="single" w:sz="4" w:space="0" w:color="000000"/>
            </w:tcBorders>
            <w:shd w:val="clear" w:color="auto" w:fill="auto"/>
            <w:vAlign w:val="center"/>
          </w:tcPr>
          <w:p w14:paraId="26411023" w14:textId="77777777" w:rsidR="000C3DE8" w:rsidRDefault="00503913">
            <w:pPr>
              <w:spacing w:after="0" w:line="240" w:lineRule="auto"/>
              <w:jc w:val="center"/>
              <w:rPr>
                <w:rFonts w:ascii="Calibri" w:eastAsia="Times New Roman" w:hAnsi="Calibri" w:cs="Calibri"/>
                <w:color w:val="000000"/>
                <w:lang w:eastAsia="pt-BR"/>
              </w:rPr>
            </w:pPr>
            <w:r>
              <w:rPr>
                <w:rFonts w:eastAsia="Times New Roman" w:cs="Calibri"/>
                <w:color w:val="000000"/>
                <w:lang w:eastAsia="pt-BR"/>
              </w:rPr>
              <w:t>0,752 ± 0,034</w:t>
            </w:r>
          </w:p>
        </w:tc>
      </w:tr>
      <w:tr w:rsidR="000C3DE8" w14:paraId="240620C5" w14:textId="77777777">
        <w:trPr>
          <w:trHeight w:val="379"/>
          <w:jc w:val="center"/>
        </w:trPr>
        <w:tc>
          <w:tcPr>
            <w:tcW w:w="3560" w:type="dxa"/>
            <w:tcBorders>
              <w:bottom w:val="single" w:sz="4" w:space="0" w:color="000000"/>
              <w:right w:val="single" w:sz="4" w:space="0" w:color="000000"/>
            </w:tcBorders>
            <w:shd w:val="clear" w:color="auto" w:fill="auto"/>
            <w:vAlign w:val="center"/>
          </w:tcPr>
          <w:p w14:paraId="1DCF1370" w14:textId="77777777" w:rsidR="000C3DE8" w:rsidRDefault="00503913">
            <w:pPr>
              <w:spacing w:after="0" w:line="240" w:lineRule="auto"/>
              <w:rPr>
                <w:rFonts w:ascii="Calibri" w:eastAsia="Times New Roman" w:hAnsi="Calibri" w:cs="Calibri"/>
                <w:color w:val="000000"/>
                <w:lang w:eastAsia="pt-BR"/>
              </w:rPr>
            </w:pPr>
            <w:r>
              <w:rPr>
                <w:rFonts w:eastAsia="Times New Roman" w:cs="Calibri"/>
                <w:color w:val="000000"/>
                <w:lang w:eastAsia="pt-BR"/>
              </w:rPr>
              <w:t>Random Forest Regressor</w:t>
            </w:r>
          </w:p>
        </w:tc>
        <w:tc>
          <w:tcPr>
            <w:tcW w:w="1713" w:type="dxa"/>
            <w:tcBorders>
              <w:bottom w:val="single" w:sz="4" w:space="0" w:color="000000"/>
              <w:right w:val="single" w:sz="4" w:space="0" w:color="000000"/>
            </w:tcBorders>
            <w:shd w:val="clear" w:color="auto" w:fill="auto"/>
            <w:vAlign w:val="center"/>
          </w:tcPr>
          <w:p w14:paraId="2C297CCA" w14:textId="77777777" w:rsidR="000C3DE8" w:rsidRDefault="00503913">
            <w:pPr>
              <w:spacing w:after="0" w:line="240" w:lineRule="auto"/>
              <w:jc w:val="center"/>
              <w:rPr>
                <w:rFonts w:ascii="Calibri" w:eastAsia="Times New Roman" w:hAnsi="Calibri" w:cs="Calibri"/>
                <w:color w:val="000000"/>
                <w:lang w:eastAsia="pt-BR"/>
              </w:rPr>
            </w:pPr>
            <w:r>
              <w:rPr>
                <w:rFonts w:eastAsia="Times New Roman" w:cs="Calibri"/>
                <w:color w:val="000000"/>
                <w:lang w:eastAsia="pt-BR"/>
              </w:rPr>
              <w:t>0,124 ± 0,008</w:t>
            </w:r>
          </w:p>
        </w:tc>
        <w:tc>
          <w:tcPr>
            <w:tcW w:w="1713" w:type="dxa"/>
            <w:tcBorders>
              <w:bottom w:val="single" w:sz="4" w:space="0" w:color="000000"/>
              <w:right w:val="single" w:sz="4" w:space="0" w:color="000000"/>
            </w:tcBorders>
            <w:shd w:val="clear" w:color="auto" w:fill="auto"/>
            <w:vAlign w:val="center"/>
          </w:tcPr>
          <w:p w14:paraId="4EA527B3" w14:textId="77777777" w:rsidR="000C3DE8" w:rsidRDefault="00503913">
            <w:pPr>
              <w:spacing w:after="0" w:line="240" w:lineRule="auto"/>
              <w:jc w:val="center"/>
              <w:rPr>
                <w:rFonts w:ascii="Calibri" w:eastAsia="Times New Roman" w:hAnsi="Calibri" w:cs="Calibri"/>
                <w:color w:val="000000"/>
                <w:lang w:eastAsia="pt-BR"/>
              </w:rPr>
            </w:pPr>
            <w:r>
              <w:rPr>
                <w:rFonts w:eastAsia="Times New Roman" w:cs="Calibri"/>
                <w:color w:val="000000"/>
                <w:lang w:eastAsia="pt-BR"/>
              </w:rPr>
              <w:t>0,045 ± 0,006</w:t>
            </w:r>
          </w:p>
        </w:tc>
        <w:tc>
          <w:tcPr>
            <w:tcW w:w="1713" w:type="dxa"/>
            <w:tcBorders>
              <w:bottom w:val="single" w:sz="4" w:space="0" w:color="000000"/>
            </w:tcBorders>
            <w:shd w:val="clear" w:color="auto" w:fill="auto"/>
            <w:vAlign w:val="center"/>
          </w:tcPr>
          <w:p w14:paraId="30F0E175" w14:textId="77777777" w:rsidR="000C3DE8" w:rsidRDefault="00503913">
            <w:pPr>
              <w:spacing w:after="0" w:line="240" w:lineRule="auto"/>
              <w:jc w:val="center"/>
              <w:rPr>
                <w:rFonts w:ascii="Calibri" w:eastAsia="Times New Roman" w:hAnsi="Calibri" w:cs="Calibri"/>
                <w:color w:val="000000"/>
                <w:lang w:eastAsia="pt-BR"/>
              </w:rPr>
            </w:pPr>
            <w:r>
              <w:rPr>
                <w:rFonts w:eastAsia="Times New Roman" w:cs="Calibri"/>
                <w:color w:val="000000"/>
                <w:lang w:eastAsia="pt-BR"/>
              </w:rPr>
              <w:t>0,773 ± 0,028</w:t>
            </w:r>
          </w:p>
        </w:tc>
      </w:tr>
      <w:tr w:rsidR="000C3DE8" w14:paraId="3B757091" w14:textId="77777777" w:rsidTr="001B16FA">
        <w:trPr>
          <w:trHeight w:val="379"/>
          <w:jc w:val="center"/>
        </w:trPr>
        <w:tc>
          <w:tcPr>
            <w:tcW w:w="3560" w:type="dxa"/>
            <w:tcBorders>
              <w:bottom w:val="single" w:sz="4" w:space="0" w:color="000000"/>
              <w:right w:val="single" w:sz="4" w:space="0" w:color="000000"/>
            </w:tcBorders>
            <w:shd w:val="clear" w:color="auto" w:fill="auto"/>
            <w:vAlign w:val="center"/>
          </w:tcPr>
          <w:p w14:paraId="1A23E230" w14:textId="77777777" w:rsidR="000C3DE8" w:rsidRDefault="00503913">
            <w:pPr>
              <w:spacing w:after="0" w:line="240" w:lineRule="auto"/>
              <w:rPr>
                <w:rFonts w:ascii="Calibri" w:eastAsia="Times New Roman" w:hAnsi="Calibri" w:cs="Calibri"/>
                <w:color w:val="000000"/>
                <w:lang w:eastAsia="pt-BR"/>
              </w:rPr>
            </w:pPr>
            <w:proofErr w:type="spellStart"/>
            <w:r>
              <w:rPr>
                <w:rFonts w:eastAsia="Times New Roman" w:cs="Calibri"/>
                <w:color w:val="000000"/>
                <w:lang w:eastAsia="pt-BR"/>
              </w:rPr>
              <w:t>Gradient</w:t>
            </w:r>
            <w:proofErr w:type="spellEnd"/>
            <w:r>
              <w:rPr>
                <w:rFonts w:eastAsia="Times New Roman" w:cs="Calibri"/>
                <w:color w:val="000000"/>
                <w:lang w:eastAsia="pt-BR"/>
              </w:rPr>
              <w:t xml:space="preserve"> </w:t>
            </w:r>
            <w:proofErr w:type="spellStart"/>
            <w:r>
              <w:rPr>
                <w:rFonts w:eastAsia="Times New Roman" w:cs="Calibri"/>
                <w:color w:val="000000"/>
                <w:lang w:eastAsia="pt-BR"/>
              </w:rPr>
              <w:t>Boosting</w:t>
            </w:r>
            <w:proofErr w:type="spellEnd"/>
            <w:r>
              <w:rPr>
                <w:rFonts w:eastAsia="Times New Roman" w:cs="Calibri"/>
                <w:color w:val="000000"/>
                <w:lang w:eastAsia="pt-BR"/>
              </w:rPr>
              <w:t xml:space="preserve"> Regressor</w:t>
            </w:r>
          </w:p>
        </w:tc>
        <w:tc>
          <w:tcPr>
            <w:tcW w:w="1713" w:type="dxa"/>
            <w:tcBorders>
              <w:bottom w:val="single" w:sz="4" w:space="0" w:color="000000"/>
              <w:right w:val="single" w:sz="4" w:space="0" w:color="000000"/>
            </w:tcBorders>
            <w:shd w:val="clear" w:color="auto" w:fill="auto"/>
            <w:vAlign w:val="center"/>
          </w:tcPr>
          <w:p w14:paraId="6DA8FCE3" w14:textId="77777777" w:rsidR="000C3DE8" w:rsidRDefault="00503913">
            <w:pPr>
              <w:spacing w:after="0" w:line="240" w:lineRule="auto"/>
              <w:jc w:val="center"/>
              <w:rPr>
                <w:rFonts w:ascii="Calibri" w:eastAsia="Times New Roman" w:hAnsi="Calibri" w:cs="Calibri"/>
                <w:color w:val="000000"/>
                <w:lang w:eastAsia="pt-BR"/>
              </w:rPr>
            </w:pPr>
            <w:r>
              <w:rPr>
                <w:rFonts w:eastAsia="Times New Roman" w:cs="Calibri"/>
                <w:color w:val="000000"/>
                <w:lang w:eastAsia="pt-BR"/>
              </w:rPr>
              <w:t>0,150 ± 0,009</w:t>
            </w:r>
          </w:p>
        </w:tc>
        <w:tc>
          <w:tcPr>
            <w:tcW w:w="1713" w:type="dxa"/>
            <w:tcBorders>
              <w:bottom w:val="single" w:sz="4" w:space="0" w:color="000000"/>
              <w:right w:val="single" w:sz="4" w:space="0" w:color="000000"/>
            </w:tcBorders>
            <w:shd w:val="clear" w:color="auto" w:fill="auto"/>
            <w:vAlign w:val="center"/>
          </w:tcPr>
          <w:p w14:paraId="06FA8C2D" w14:textId="77777777" w:rsidR="000C3DE8" w:rsidRDefault="00503913">
            <w:pPr>
              <w:spacing w:after="0" w:line="240" w:lineRule="auto"/>
              <w:jc w:val="center"/>
              <w:rPr>
                <w:rFonts w:ascii="Calibri" w:eastAsia="Times New Roman" w:hAnsi="Calibri" w:cs="Calibri"/>
                <w:color w:val="000000"/>
                <w:lang w:eastAsia="pt-BR"/>
              </w:rPr>
            </w:pPr>
            <w:r>
              <w:rPr>
                <w:rFonts w:eastAsia="Times New Roman" w:cs="Calibri"/>
                <w:color w:val="000000"/>
                <w:lang w:eastAsia="pt-BR"/>
              </w:rPr>
              <w:t>0,056 ± 0,008</w:t>
            </w:r>
          </w:p>
        </w:tc>
        <w:tc>
          <w:tcPr>
            <w:tcW w:w="1713" w:type="dxa"/>
            <w:tcBorders>
              <w:bottom w:val="single" w:sz="4" w:space="0" w:color="000000"/>
            </w:tcBorders>
            <w:shd w:val="clear" w:color="auto" w:fill="auto"/>
            <w:vAlign w:val="center"/>
          </w:tcPr>
          <w:p w14:paraId="54E049A0" w14:textId="77777777" w:rsidR="000C3DE8" w:rsidRDefault="00503913">
            <w:pPr>
              <w:spacing w:after="0" w:line="240" w:lineRule="auto"/>
              <w:jc w:val="center"/>
              <w:rPr>
                <w:rFonts w:ascii="Calibri" w:eastAsia="Times New Roman" w:hAnsi="Calibri" w:cs="Calibri"/>
                <w:color w:val="000000"/>
                <w:lang w:eastAsia="pt-BR"/>
              </w:rPr>
            </w:pPr>
            <w:r>
              <w:rPr>
                <w:rFonts w:eastAsia="Times New Roman" w:cs="Calibri"/>
                <w:color w:val="000000"/>
                <w:lang w:eastAsia="pt-BR"/>
              </w:rPr>
              <w:t>0,715 ± 0,026</w:t>
            </w:r>
          </w:p>
        </w:tc>
      </w:tr>
      <w:tr w:rsidR="000C3DE8" w14:paraId="5B0B0933" w14:textId="77777777" w:rsidTr="001B16FA">
        <w:trPr>
          <w:trHeight w:val="379"/>
          <w:jc w:val="center"/>
        </w:trPr>
        <w:tc>
          <w:tcPr>
            <w:tcW w:w="3560" w:type="dxa"/>
            <w:tcBorders>
              <w:top w:val="single" w:sz="4" w:space="0" w:color="000000"/>
              <w:bottom w:val="single" w:sz="4" w:space="0" w:color="auto"/>
              <w:right w:val="single" w:sz="4" w:space="0" w:color="000000"/>
            </w:tcBorders>
            <w:shd w:val="clear" w:color="auto" w:fill="auto"/>
            <w:vAlign w:val="center"/>
          </w:tcPr>
          <w:p w14:paraId="236C44AB" w14:textId="77777777" w:rsidR="000C3DE8" w:rsidRDefault="00503913">
            <w:pPr>
              <w:spacing w:after="0" w:line="240" w:lineRule="auto"/>
              <w:rPr>
                <w:rFonts w:ascii="Calibri" w:eastAsia="Times New Roman" w:hAnsi="Calibri" w:cs="Calibri"/>
                <w:color w:val="000000"/>
                <w:lang w:eastAsia="pt-BR"/>
              </w:rPr>
            </w:pPr>
            <w:proofErr w:type="spellStart"/>
            <w:r>
              <w:rPr>
                <w:rFonts w:eastAsia="Times New Roman" w:cs="Calibri"/>
                <w:color w:val="000000"/>
                <w:lang w:eastAsia="pt-BR"/>
              </w:rPr>
              <w:t>Decision</w:t>
            </w:r>
            <w:proofErr w:type="spellEnd"/>
            <w:r>
              <w:rPr>
                <w:rFonts w:eastAsia="Times New Roman" w:cs="Calibri"/>
                <w:color w:val="000000"/>
                <w:lang w:eastAsia="pt-BR"/>
              </w:rPr>
              <w:t xml:space="preserve"> </w:t>
            </w:r>
            <w:proofErr w:type="spellStart"/>
            <w:r>
              <w:rPr>
                <w:rFonts w:eastAsia="Times New Roman" w:cs="Calibri"/>
                <w:color w:val="000000"/>
                <w:lang w:eastAsia="pt-BR"/>
              </w:rPr>
              <w:t>Tree</w:t>
            </w:r>
            <w:proofErr w:type="spellEnd"/>
            <w:r>
              <w:rPr>
                <w:rFonts w:eastAsia="Times New Roman" w:cs="Calibri"/>
                <w:color w:val="000000"/>
                <w:lang w:eastAsia="pt-BR"/>
              </w:rPr>
              <w:t xml:space="preserve"> Regressor</w:t>
            </w:r>
          </w:p>
        </w:tc>
        <w:tc>
          <w:tcPr>
            <w:tcW w:w="1713" w:type="dxa"/>
            <w:tcBorders>
              <w:top w:val="single" w:sz="4" w:space="0" w:color="000000"/>
              <w:bottom w:val="single" w:sz="4" w:space="0" w:color="auto"/>
              <w:right w:val="single" w:sz="4" w:space="0" w:color="000000"/>
            </w:tcBorders>
            <w:shd w:val="clear" w:color="auto" w:fill="auto"/>
            <w:vAlign w:val="center"/>
          </w:tcPr>
          <w:p w14:paraId="0B930D5F" w14:textId="77777777" w:rsidR="000C3DE8" w:rsidRDefault="00503913">
            <w:pPr>
              <w:spacing w:after="0" w:line="240" w:lineRule="auto"/>
              <w:jc w:val="center"/>
              <w:rPr>
                <w:rFonts w:ascii="Calibri" w:eastAsia="Times New Roman" w:hAnsi="Calibri" w:cs="Calibri"/>
                <w:color w:val="000000"/>
                <w:lang w:eastAsia="pt-BR"/>
              </w:rPr>
            </w:pPr>
            <w:r>
              <w:rPr>
                <w:rFonts w:eastAsia="Times New Roman" w:cs="Calibri"/>
                <w:color w:val="000000"/>
                <w:lang w:eastAsia="pt-BR"/>
              </w:rPr>
              <w:t>0,147 ± 0,014</w:t>
            </w:r>
          </w:p>
        </w:tc>
        <w:tc>
          <w:tcPr>
            <w:tcW w:w="1713" w:type="dxa"/>
            <w:tcBorders>
              <w:top w:val="single" w:sz="4" w:space="0" w:color="000000"/>
              <w:bottom w:val="single" w:sz="4" w:space="0" w:color="auto"/>
              <w:right w:val="single" w:sz="4" w:space="0" w:color="000000"/>
            </w:tcBorders>
            <w:shd w:val="clear" w:color="auto" w:fill="auto"/>
            <w:vAlign w:val="center"/>
          </w:tcPr>
          <w:p w14:paraId="2374A04C" w14:textId="77777777" w:rsidR="000C3DE8" w:rsidRDefault="00503913">
            <w:pPr>
              <w:spacing w:after="0" w:line="240" w:lineRule="auto"/>
              <w:jc w:val="center"/>
              <w:rPr>
                <w:rFonts w:ascii="Calibri" w:eastAsia="Times New Roman" w:hAnsi="Calibri" w:cs="Calibri"/>
                <w:color w:val="000000"/>
                <w:lang w:eastAsia="pt-BR"/>
              </w:rPr>
            </w:pPr>
            <w:r>
              <w:rPr>
                <w:rFonts w:eastAsia="Times New Roman" w:cs="Calibri"/>
                <w:color w:val="000000"/>
                <w:lang w:eastAsia="pt-BR"/>
              </w:rPr>
              <w:t>0,074 ± 0,015</w:t>
            </w:r>
          </w:p>
        </w:tc>
        <w:tc>
          <w:tcPr>
            <w:tcW w:w="1713" w:type="dxa"/>
            <w:tcBorders>
              <w:top w:val="single" w:sz="4" w:space="0" w:color="000000"/>
              <w:bottom w:val="single" w:sz="4" w:space="0" w:color="auto"/>
            </w:tcBorders>
            <w:shd w:val="clear" w:color="auto" w:fill="auto"/>
            <w:vAlign w:val="center"/>
          </w:tcPr>
          <w:p w14:paraId="4C365295" w14:textId="77777777" w:rsidR="000C3DE8" w:rsidRDefault="00503913">
            <w:pPr>
              <w:spacing w:after="0" w:line="240" w:lineRule="auto"/>
              <w:jc w:val="center"/>
              <w:rPr>
                <w:rFonts w:ascii="Calibri" w:eastAsia="Times New Roman" w:hAnsi="Calibri" w:cs="Calibri"/>
                <w:color w:val="000000"/>
                <w:lang w:eastAsia="pt-BR"/>
              </w:rPr>
            </w:pPr>
            <w:r>
              <w:rPr>
                <w:rFonts w:eastAsia="Times New Roman" w:cs="Calibri"/>
                <w:color w:val="000000"/>
                <w:lang w:eastAsia="pt-BR"/>
              </w:rPr>
              <w:t>0,624 ± 0,084</w:t>
            </w:r>
          </w:p>
        </w:tc>
      </w:tr>
    </w:tbl>
    <w:p w14:paraId="516CD905" w14:textId="4CEA3B53" w:rsidR="000C3DE8" w:rsidRDefault="00503913">
      <w:pPr>
        <w:jc w:val="center"/>
        <w:rPr>
          <w:rFonts w:cstheme="minorHAnsi"/>
        </w:rPr>
      </w:pPr>
      <w:r>
        <w:rPr>
          <w:rFonts w:cstheme="minorHAnsi"/>
        </w:rPr>
        <w:br/>
        <w:t>Tabela 1</w:t>
      </w:r>
      <w:r w:rsidR="001B16FA">
        <w:rPr>
          <w:rFonts w:cstheme="minorHAnsi"/>
        </w:rPr>
        <w:t>: Resultados obtidos dos modelos analisados em ETH.</w:t>
      </w:r>
    </w:p>
    <w:tbl>
      <w:tblPr>
        <w:tblW w:w="8667" w:type="dxa"/>
        <w:jc w:val="center"/>
        <w:tblCellMar>
          <w:left w:w="70" w:type="dxa"/>
          <w:right w:w="70" w:type="dxa"/>
        </w:tblCellMar>
        <w:tblLook w:val="04A0" w:firstRow="1" w:lastRow="0" w:firstColumn="1" w:lastColumn="0" w:noHBand="0" w:noVBand="1"/>
      </w:tblPr>
      <w:tblGrid>
        <w:gridCol w:w="3487"/>
        <w:gridCol w:w="1676"/>
        <w:gridCol w:w="1827"/>
        <w:gridCol w:w="1677"/>
      </w:tblGrid>
      <w:tr w:rsidR="000C3DE8" w14:paraId="2715E215" w14:textId="77777777">
        <w:trPr>
          <w:trHeight w:val="398"/>
          <w:jc w:val="center"/>
        </w:trPr>
        <w:tc>
          <w:tcPr>
            <w:tcW w:w="8666" w:type="dxa"/>
            <w:gridSpan w:val="4"/>
            <w:tcBorders>
              <w:bottom w:val="single" w:sz="8" w:space="0" w:color="000000"/>
            </w:tcBorders>
            <w:shd w:val="clear" w:color="auto" w:fill="auto"/>
            <w:vAlign w:val="center"/>
          </w:tcPr>
          <w:p w14:paraId="57CE7972" w14:textId="77777777" w:rsidR="000C3DE8" w:rsidRDefault="00503913">
            <w:pPr>
              <w:spacing w:after="0" w:line="240" w:lineRule="auto"/>
              <w:jc w:val="center"/>
              <w:rPr>
                <w:rFonts w:ascii="Calibri" w:eastAsia="Times New Roman" w:hAnsi="Calibri" w:cs="Calibri"/>
                <w:b/>
                <w:bCs/>
                <w:color w:val="000000"/>
                <w:lang w:eastAsia="pt-BR"/>
              </w:rPr>
            </w:pPr>
            <w:r>
              <w:rPr>
                <w:rFonts w:eastAsia="Times New Roman" w:cs="Calibri"/>
                <w:b/>
                <w:bCs/>
                <w:color w:val="000000"/>
                <w:lang w:eastAsia="pt-BR"/>
              </w:rPr>
              <w:t>GODS</w:t>
            </w:r>
          </w:p>
        </w:tc>
      </w:tr>
      <w:tr w:rsidR="000C3DE8" w14:paraId="11D86CE6" w14:textId="77777777">
        <w:trPr>
          <w:trHeight w:val="379"/>
          <w:jc w:val="center"/>
        </w:trPr>
        <w:tc>
          <w:tcPr>
            <w:tcW w:w="3486" w:type="dxa"/>
            <w:tcBorders>
              <w:bottom w:val="single" w:sz="4" w:space="0" w:color="000000"/>
              <w:right w:val="single" w:sz="4" w:space="0" w:color="000000"/>
            </w:tcBorders>
            <w:shd w:val="clear" w:color="auto" w:fill="auto"/>
            <w:vAlign w:val="center"/>
          </w:tcPr>
          <w:p w14:paraId="0D8F070A" w14:textId="77777777" w:rsidR="000C3DE8" w:rsidRDefault="00503913">
            <w:pPr>
              <w:spacing w:after="0" w:line="240" w:lineRule="auto"/>
              <w:jc w:val="center"/>
              <w:rPr>
                <w:rFonts w:ascii="Calibri" w:eastAsia="Times New Roman" w:hAnsi="Calibri" w:cs="Calibri"/>
                <w:color w:val="000000"/>
                <w:lang w:eastAsia="pt-BR"/>
              </w:rPr>
            </w:pPr>
            <w:r>
              <w:rPr>
                <w:rFonts w:eastAsia="Times New Roman" w:cs="Calibri"/>
                <w:color w:val="000000"/>
                <w:lang w:eastAsia="pt-BR"/>
              </w:rPr>
              <w:t>Modelos</w:t>
            </w:r>
          </w:p>
        </w:tc>
        <w:tc>
          <w:tcPr>
            <w:tcW w:w="1676" w:type="dxa"/>
            <w:tcBorders>
              <w:bottom w:val="single" w:sz="4" w:space="0" w:color="000000"/>
              <w:right w:val="single" w:sz="4" w:space="0" w:color="000000"/>
            </w:tcBorders>
            <w:shd w:val="clear" w:color="auto" w:fill="auto"/>
            <w:vAlign w:val="center"/>
          </w:tcPr>
          <w:p w14:paraId="430DC214" w14:textId="77777777" w:rsidR="000C3DE8" w:rsidRDefault="00503913">
            <w:pPr>
              <w:spacing w:after="0" w:line="240" w:lineRule="auto"/>
              <w:jc w:val="center"/>
              <w:rPr>
                <w:rFonts w:ascii="Calibri" w:eastAsia="Times New Roman" w:hAnsi="Calibri" w:cs="Calibri"/>
                <w:color w:val="000000"/>
                <w:lang w:eastAsia="pt-BR"/>
              </w:rPr>
            </w:pPr>
            <w:r>
              <w:rPr>
                <w:rFonts w:eastAsia="Times New Roman" w:cs="Calibri"/>
                <w:color w:val="000000"/>
                <w:lang w:eastAsia="pt-BR"/>
              </w:rPr>
              <w:t>EMA</w:t>
            </w:r>
          </w:p>
        </w:tc>
        <w:tc>
          <w:tcPr>
            <w:tcW w:w="1827" w:type="dxa"/>
            <w:tcBorders>
              <w:bottom w:val="single" w:sz="4" w:space="0" w:color="000000"/>
              <w:right w:val="single" w:sz="4" w:space="0" w:color="000000"/>
            </w:tcBorders>
            <w:shd w:val="clear" w:color="auto" w:fill="auto"/>
            <w:vAlign w:val="center"/>
          </w:tcPr>
          <w:p w14:paraId="01DB62FE" w14:textId="77777777" w:rsidR="000C3DE8" w:rsidRDefault="00503913">
            <w:pPr>
              <w:spacing w:after="0" w:line="240" w:lineRule="auto"/>
              <w:jc w:val="center"/>
              <w:rPr>
                <w:rFonts w:ascii="Calibri" w:eastAsia="Times New Roman" w:hAnsi="Calibri" w:cs="Calibri"/>
                <w:color w:val="000000"/>
                <w:lang w:eastAsia="pt-BR"/>
              </w:rPr>
            </w:pPr>
            <w:r>
              <w:rPr>
                <w:rFonts w:eastAsia="Times New Roman" w:cs="Calibri"/>
                <w:color w:val="000000"/>
                <w:lang w:eastAsia="pt-BR"/>
              </w:rPr>
              <w:t>EMQ</w:t>
            </w:r>
          </w:p>
        </w:tc>
        <w:tc>
          <w:tcPr>
            <w:tcW w:w="1677" w:type="dxa"/>
            <w:tcBorders>
              <w:bottom w:val="single" w:sz="4" w:space="0" w:color="000000"/>
            </w:tcBorders>
            <w:shd w:val="clear" w:color="auto" w:fill="auto"/>
            <w:vAlign w:val="center"/>
          </w:tcPr>
          <w:p w14:paraId="58716910" w14:textId="77777777" w:rsidR="000C3DE8" w:rsidRDefault="00503913">
            <w:pPr>
              <w:spacing w:after="0" w:line="240" w:lineRule="auto"/>
              <w:jc w:val="center"/>
              <w:rPr>
                <w:rFonts w:ascii="Calibri" w:eastAsia="Times New Roman" w:hAnsi="Calibri" w:cs="Calibri"/>
                <w:color w:val="000000"/>
                <w:lang w:eastAsia="pt-BR"/>
              </w:rPr>
            </w:pPr>
            <w:r>
              <w:rPr>
                <w:rFonts w:eastAsia="Times New Roman" w:cs="Calibri"/>
                <w:color w:val="000000"/>
                <w:lang w:eastAsia="pt-BR"/>
              </w:rPr>
              <w:t>R²</w:t>
            </w:r>
          </w:p>
        </w:tc>
      </w:tr>
      <w:tr w:rsidR="000C3DE8" w14:paraId="2BF0CD9A" w14:textId="77777777">
        <w:trPr>
          <w:trHeight w:val="379"/>
          <w:jc w:val="center"/>
        </w:trPr>
        <w:tc>
          <w:tcPr>
            <w:tcW w:w="3486" w:type="dxa"/>
            <w:tcBorders>
              <w:bottom w:val="single" w:sz="4" w:space="0" w:color="000000"/>
              <w:right w:val="single" w:sz="4" w:space="0" w:color="000000"/>
            </w:tcBorders>
            <w:shd w:val="clear" w:color="auto" w:fill="auto"/>
            <w:vAlign w:val="center"/>
          </w:tcPr>
          <w:p w14:paraId="36D6751E" w14:textId="77777777" w:rsidR="000C3DE8" w:rsidRDefault="00503913">
            <w:pPr>
              <w:spacing w:after="0" w:line="240" w:lineRule="auto"/>
              <w:rPr>
                <w:rFonts w:ascii="Calibri" w:eastAsia="Times New Roman" w:hAnsi="Calibri" w:cs="Calibri"/>
                <w:color w:val="000000"/>
                <w:lang w:eastAsia="pt-BR"/>
              </w:rPr>
            </w:pPr>
            <w:proofErr w:type="spellStart"/>
            <w:r>
              <w:rPr>
                <w:rFonts w:eastAsia="Times New Roman" w:cs="Calibri"/>
                <w:color w:val="000000"/>
                <w:lang w:eastAsia="pt-BR"/>
              </w:rPr>
              <w:t>Bagging</w:t>
            </w:r>
            <w:proofErr w:type="spellEnd"/>
            <w:r>
              <w:rPr>
                <w:rFonts w:eastAsia="Times New Roman" w:cs="Calibri"/>
                <w:color w:val="000000"/>
                <w:lang w:eastAsia="pt-BR"/>
              </w:rPr>
              <w:t xml:space="preserve"> Regressor</w:t>
            </w:r>
          </w:p>
        </w:tc>
        <w:tc>
          <w:tcPr>
            <w:tcW w:w="1676" w:type="dxa"/>
            <w:tcBorders>
              <w:bottom w:val="single" w:sz="4" w:space="0" w:color="000000"/>
              <w:right w:val="single" w:sz="4" w:space="0" w:color="000000"/>
            </w:tcBorders>
            <w:shd w:val="clear" w:color="auto" w:fill="auto"/>
            <w:vAlign w:val="center"/>
          </w:tcPr>
          <w:p w14:paraId="5C57D743" w14:textId="77777777" w:rsidR="000C3DE8" w:rsidRDefault="00503913">
            <w:pPr>
              <w:spacing w:after="0" w:line="240" w:lineRule="auto"/>
              <w:jc w:val="center"/>
              <w:rPr>
                <w:rFonts w:ascii="Calibri" w:eastAsia="Times New Roman" w:hAnsi="Calibri" w:cs="Calibri"/>
                <w:color w:val="000000"/>
                <w:lang w:eastAsia="pt-BR"/>
              </w:rPr>
            </w:pPr>
            <w:r>
              <w:rPr>
                <w:rFonts w:eastAsia="Times New Roman" w:cs="Calibri"/>
                <w:color w:val="000000"/>
                <w:lang w:eastAsia="pt-BR"/>
              </w:rPr>
              <w:t>0,132 ± 0,008</w:t>
            </w:r>
          </w:p>
        </w:tc>
        <w:tc>
          <w:tcPr>
            <w:tcW w:w="1827" w:type="dxa"/>
            <w:tcBorders>
              <w:bottom w:val="single" w:sz="4" w:space="0" w:color="000000"/>
              <w:right w:val="single" w:sz="4" w:space="0" w:color="000000"/>
            </w:tcBorders>
            <w:shd w:val="clear" w:color="auto" w:fill="auto"/>
            <w:vAlign w:val="center"/>
          </w:tcPr>
          <w:p w14:paraId="30EA1D9A" w14:textId="77777777" w:rsidR="000C3DE8" w:rsidRDefault="00503913">
            <w:pPr>
              <w:spacing w:after="0" w:line="240" w:lineRule="auto"/>
              <w:jc w:val="center"/>
              <w:rPr>
                <w:rFonts w:ascii="Calibri" w:eastAsia="Times New Roman" w:hAnsi="Calibri" w:cs="Calibri"/>
                <w:color w:val="000000"/>
                <w:lang w:eastAsia="pt-BR"/>
              </w:rPr>
            </w:pPr>
            <w:r>
              <w:rPr>
                <w:rFonts w:eastAsia="Times New Roman" w:cs="Calibri"/>
                <w:color w:val="000000"/>
                <w:lang w:eastAsia="pt-BR"/>
              </w:rPr>
              <w:t>0,0491 ± 0,006</w:t>
            </w:r>
          </w:p>
        </w:tc>
        <w:tc>
          <w:tcPr>
            <w:tcW w:w="1677" w:type="dxa"/>
            <w:tcBorders>
              <w:bottom w:val="single" w:sz="4" w:space="0" w:color="000000"/>
            </w:tcBorders>
            <w:shd w:val="clear" w:color="auto" w:fill="auto"/>
            <w:vAlign w:val="center"/>
          </w:tcPr>
          <w:p w14:paraId="207E64E1" w14:textId="77777777" w:rsidR="000C3DE8" w:rsidRDefault="00503913">
            <w:pPr>
              <w:spacing w:after="0" w:line="240" w:lineRule="auto"/>
              <w:jc w:val="center"/>
              <w:rPr>
                <w:rFonts w:ascii="Calibri" w:eastAsia="Times New Roman" w:hAnsi="Calibri" w:cs="Calibri"/>
                <w:color w:val="000000"/>
                <w:lang w:eastAsia="pt-BR"/>
              </w:rPr>
            </w:pPr>
            <w:r>
              <w:rPr>
                <w:rFonts w:eastAsia="Times New Roman" w:cs="Calibri"/>
                <w:color w:val="000000"/>
                <w:lang w:eastAsia="pt-BR"/>
              </w:rPr>
              <w:t>0,753 ± 0,030</w:t>
            </w:r>
          </w:p>
        </w:tc>
      </w:tr>
      <w:tr w:rsidR="000C3DE8" w14:paraId="12BD8D0A" w14:textId="77777777">
        <w:trPr>
          <w:trHeight w:val="379"/>
          <w:jc w:val="center"/>
        </w:trPr>
        <w:tc>
          <w:tcPr>
            <w:tcW w:w="3486" w:type="dxa"/>
            <w:tcBorders>
              <w:bottom w:val="single" w:sz="4" w:space="0" w:color="000000"/>
              <w:right w:val="single" w:sz="4" w:space="0" w:color="000000"/>
            </w:tcBorders>
            <w:shd w:val="clear" w:color="auto" w:fill="auto"/>
            <w:vAlign w:val="center"/>
          </w:tcPr>
          <w:p w14:paraId="500C59D2" w14:textId="77777777" w:rsidR="000C3DE8" w:rsidRDefault="00503913">
            <w:pPr>
              <w:spacing w:after="0" w:line="240" w:lineRule="auto"/>
              <w:rPr>
                <w:rFonts w:ascii="Calibri" w:eastAsia="Times New Roman" w:hAnsi="Calibri" w:cs="Calibri"/>
                <w:color w:val="000000"/>
                <w:lang w:eastAsia="pt-BR"/>
              </w:rPr>
            </w:pPr>
            <w:r>
              <w:rPr>
                <w:rFonts w:eastAsia="Times New Roman" w:cs="Calibri"/>
                <w:color w:val="000000"/>
                <w:lang w:eastAsia="pt-BR"/>
              </w:rPr>
              <w:t>Random Forest Regressor</w:t>
            </w:r>
          </w:p>
        </w:tc>
        <w:tc>
          <w:tcPr>
            <w:tcW w:w="1676" w:type="dxa"/>
            <w:tcBorders>
              <w:bottom w:val="single" w:sz="4" w:space="0" w:color="000000"/>
              <w:right w:val="single" w:sz="4" w:space="0" w:color="000000"/>
            </w:tcBorders>
            <w:shd w:val="clear" w:color="auto" w:fill="auto"/>
            <w:vAlign w:val="center"/>
          </w:tcPr>
          <w:p w14:paraId="04DEB512" w14:textId="77777777" w:rsidR="000C3DE8" w:rsidRDefault="00503913">
            <w:pPr>
              <w:spacing w:after="0" w:line="240" w:lineRule="auto"/>
              <w:jc w:val="center"/>
              <w:rPr>
                <w:rFonts w:ascii="Calibri" w:eastAsia="Times New Roman" w:hAnsi="Calibri" w:cs="Calibri"/>
                <w:color w:val="000000"/>
                <w:lang w:eastAsia="pt-BR"/>
              </w:rPr>
            </w:pPr>
            <w:r>
              <w:rPr>
                <w:rFonts w:eastAsia="Times New Roman" w:cs="Calibri"/>
                <w:color w:val="000000"/>
                <w:lang w:eastAsia="pt-BR"/>
              </w:rPr>
              <w:t>0,125 ± 0,007</w:t>
            </w:r>
          </w:p>
        </w:tc>
        <w:tc>
          <w:tcPr>
            <w:tcW w:w="1827" w:type="dxa"/>
            <w:tcBorders>
              <w:bottom w:val="single" w:sz="4" w:space="0" w:color="000000"/>
              <w:right w:val="single" w:sz="4" w:space="0" w:color="000000"/>
            </w:tcBorders>
            <w:shd w:val="clear" w:color="auto" w:fill="auto"/>
            <w:vAlign w:val="center"/>
          </w:tcPr>
          <w:p w14:paraId="6ED5169A" w14:textId="77777777" w:rsidR="000C3DE8" w:rsidRDefault="00503913">
            <w:pPr>
              <w:spacing w:after="0" w:line="240" w:lineRule="auto"/>
              <w:jc w:val="center"/>
              <w:rPr>
                <w:rFonts w:ascii="Calibri" w:eastAsia="Times New Roman" w:hAnsi="Calibri" w:cs="Calibri"/>
                <w:color w:val="000000"/>
                <w:lang w:eastAsia="pt-BR"/>
              </w:rPr>
            </w:pPr>
            <w:r>
              <w:rPr>
                <w:rFonts w:eastAsia="Times New Roman" w:cs="Calibri"/>
                <w:color w:val="000000"/>
                <w:lang w:eastAsia="pt-BR"/>
              </w:rPr>
              <w:t>0,0442 ± 0,005</w:t>
            </w:r>
          </w:p>
        </w:tc>
        <w:tc>
          <w:tcPr>
            <w:tcW w:w="1677" w:type="dxa"/>
            <w:tcBorders>
              <w:bottom w:val="single" w:sz="4" w:space="0" w:color="000000"/>
            </w:tcBorders>
            <w:shd w:val="clear" w:color="auto" w:fill="auto"/>
            <w:vAlign w:val="center"/>
          </w:tcPr>
          <w:p w14:paraId="7FD11272" w14:textId="77777777" w:rsidR="000C3DE8" w:rsidRDefault="00503913">
            <w:pPr>
              <w:spacing w:after="0" w:line="240" w:lineRule="auto"/>
              <w:jc w:val="center"/>
              <w:rPr>
                <w:rFonts w:ascii="Calibri" w:eastAsia="Times New Roman" w:hAnsi="Calibri" w:cs="Calibri"/>
                <w:color w:val="000000"/>
                <w:lang w:eastAsia="pt-BR"/>
              </w:rPr>
            </w:pPr>
            <w:r>
              <w:rPr>
                <w:rFonts w:eastAsia="Times New Roman" w:cs="Calibri"/>
                <w:color w:val="000000"/>
                <w:lang w:eastAsia="pt-BR"/>
              </w:rPr>
              <w:t>0,778 ± 0,025</w:t>
            </w:r>
          </w:p>
        </w:tc>
      </w:tr>
      <w:tr w:rsidR="000C3DE8" w14:paraId="7714C8D9" w14:textId="77777777" w:rsidTr="001B16FA">
        <w:trPr>
          <w:trHeight w:val="379"/>
          <w:jc w:val="center"/>
        </w:trPr>
        <w:tc>
          <w:tcPr>
            <w:tcW w:w="3486" w:type="dxa"/>
            <w:tcBorders>
              <w:bottom w:val="single" w:sz="4" w:space="0" w:color="000000"/>
              <w:right w:val="single" w:sz="4" w:space="0" w:color="000000"/>
            </w:tcBorders>
            <w:shd w:val="clear" w:color="auto" w:fill="auto"/>
            <w:vAlign w:val="center"/>
          </w:tcPr>
          <w:p w14:paraId="0CD86239" w14:textId="77777777" w:rsidR="000C3DE8" w:rsidRDefault="00503913">
            <w:pPr>
              <w:spacing w:after="0" w:line="240" w:lineRule="auto"/>
              <w:rPr>
                <w:rFonts w:ascii="Calibri" w:eastAsia="Times New Roman" w:hAnsi="Calibri" w:cs="Calibri"/>
                <w:color w:val="000000"/>
                <w:lang w:eastAsia="pt-BR"/>
              </w:rPr>
            </w:pPr>
            <w:proofErr w:type="spellStart"/>
            <w:r>
              <w:rPr>
                <w:rFonts w:eastAsia="Times New Roman" w:cs="Calibri"/>
                <w:color w:val="000000"/>
                <w:lang w:eastAsia="pt-BR"/>
              </w:rPr>
              <w:t>Gradient</w:t>
            </w:r>
            <w:proofErr w:type="spellEnd"/>
            <w:r>
              <w:rPr>
                <w:rFonts w:eastAsia="Times New Roman" w:cs="Calibri"/>
                <w:color w:val="000000"/>
                <w:lang w:eastAsia="pt-BR"/>
              </w:rPr>
              <w:t xml:space="preserve"> </w:t>
            </w:r>
            <w:proofErr w:type="spellStart"/>
            <w:r>
              <w:rPr>
                <w:rFonts w:eastAsia="Times New Roman" w:cs="Calibri"/>
                <w:color w:val="000000"/>
                <w:lang w:eastAsia="pt-BR"/>
              </w:rPr>
              <w:t>Boosting</w:t>
            </w:r>
            <w:proofErr w:type="spellEnd"/>
            <w:r>
              <w:rPr>
                <w:rFonts w:eastAsia="Times New Roman" w:cs="Calibri"/>
                <w:color w:val="000000"/>
                <w:lang w:eastAsia="pt-BR"/>
              </w:rPr>
              <w:t xml:space="preserve"> Regressor</w:t>
            </w:r>
          </w:p>
        </w:tc>
        <w:tc>
          <w:tcPr>
            <w:tcW w:w="1676" w:type="dxa"/>
            <w:tcBorders>
              <w:bottom w:val="single" w:sz="4" w:space="0" w:color="000000"/>
              <w:right w:val="single" w:sz="4" w:space="0" w:color="000000"/>
            </w:tcBorders>
            <w:shd w:val="clear" w:color="auto" w:fill="auto"/>
            <w:vAlign w:val="center"/>
          </w:tcPr>
          <w:p w14:paraId="643CD0EA" w14:textId="77777777" w:rsidR="000C3DE8" w:rsidRDefault="00503913">
            <w:pPr>
              <w:spacing w:after="0" w:line="240" w:lineRule="auto"/>
              <w:jc w:val="center"/>
              <w:rPr>
                <w:rFonts w:ascii="Calibri" w:eastAsia="Times New Roman" w:hAnsi="Calibri" w:cs="Calibri"/>
                <w:color w:val="000000"/>
                <w:lang w:eastAsia="pt-BR"/>
              </w:rPr>
            </w:pPr>
            <w:r>
              <w:rPr>
                <w:rFonts w:eastAsia="Times New Roman" w:cs="Calibri"/>
                <w:color w:val="000000"/>
                <w:lang w:eastAsia="pt-BR"/>
              </w:rPr>
              <w:t>0,152 ± 0,007</w:t>
            </w:r>
          </w:p>
        </w:tc>
        <w:tc>
          <w:tcPr>
            <w:tcW w:w="1827" w:type="dxa"/>
            <w:tcBorders>
              <w:bottom w:val="single" w:sz="4" w:space="0" w:color="000000"/>
              <w:right w:val="single" w:sz="4" w:space="0" w:color="000000"/>
            </w:tcBorders>
            <w:shd w:val="clear" w:color="auto" w:fill="auto"/>
            <w:vAlign w:val="center"/>
          </w:tcPr>
          <w:p w14:paraId="0C27814B" w14:textId="77777777" w:rsidR="000C3DE8" w:rsidRDefault="00503913">
            <w:pPr>
              <w:spacing w:after="0" w:line="240" w:lineRule="auto"/>
              <w:jc w:val="center"/>
              <w:rPr>
                <w:rFonts w:ascii="Calibri" w:eastAsia="Times New Roman" w:hAnsi="Calibri" w:cs="Calibri"/>
                <w:color w:val="000000"/>
                <w:lang w:eastAsia="pt-BR"/>
              </w:rPr>
            </w:pPr>
            <w:r>
              <w:rPr>
                <w:rFonts w:eastAsia="Times New Roman" w:cs="Calibri"/>
                <w:color w:val="000000"/>
                <w:lang w:eastAsia="pt-BR"/>
              </w:rPr>
              <w:t>0,0573 ± 0,007</w:t>
            </w:r>
          </w:p>
        </w:tc>
        <w:tc>
          <w:tcPr>
            <w:tcW w:w="1677" w:type="dxa"/>
            <w:tcBorders>
              <w:bottom w:val="single" w:sz="4" w:space="0" w:color="000000"/>
            </w:tcBorders>
            <w:shd w:val="clear" w:color="auto" w:fill="auto"/>
            <w:vAlign w:val="center"/>
          </w:tcPr>
          <w:p w14:paraId="6297DD61" w14:textId="77777777" w:rsidR="000C3DE8" w:rsidRDefault="00503913">
            <w:pPr>
              <w:spacing w:after="0" w:line="240" w:lineRule="auto"/>
              <w:jc w:val="center"/>
              <w:rPr>
                <w:rFonts w:ascii="Calibri" w:eastAsia="Times New Roman" w:hAnsi="Calibri" w:cs="Calibri"/>
                <w:color w:val="000000"/>
                <w:lang w:eastAsia="pt-BR"/>
              </w:rPr>
            </w:pPr>
            <w:r>
              <w:rPr>
                <w:rFonts w:eastAsia="Times New Roman" w:cs="Calibri"/>
                <w:color w:val="000000"/>
                <w:lang w:eastAsia="pt-BR"/>
              </w:rPr>
              <w:t>0,712 ± 0,029</w:t>
            </w:r>
          </w:p>
        </w:tc>
      </w:tr>
      <w:tr w:rsidR="000C3DE8" w14:paraId="61B959E3" w14:textId="77777777" w:rsidTr="001B16FA">
        <w:trPr>
          <w:trHeight w:val="379"/>
          <w:jc w:val="center"/>
        </w:trPr>
        <w:tc>
          <w:tcPr>
            <w:tcW w:w="3486" w:type="dxa"/>
            <w:tcBorders>
              <w:top w:val="single" w:sz="4" w:space="0" w:color="000000"/>
              <w:bottom w:val="single" w:sz="4" w:space="0" w:color="auto"/>
              <w:right w:val="single" w:sz="4" w:space="0" w:color="000000"/>
            </w:tcBorders>
            <w:shd w:val="clear" w:color="auto" w:fill="auto"/>
            <w:vAlign w:val="center"/>
          </w:tcPr>
          <w:p w14:paraId="736A1B46" w14:textId="77777777" w:rsidR="000C3DE8" w:rsidRDefault="00503913">
            <w:pPr>
              <w:spacing w:after="0" w:line="240" w:lineRule="auto"/>
              <w:rPr>
                <w:rFonts w:ascii="Calibri" w:eastAsia="Times New Roman" w:hAnsi="Calibri" w:cs="Calibri"/>
                <w:color w:val="000000"/>
                <w:lang w:eastAsia="pt-BR"/>
              </w:rPr>
            </w:pPr>
            <w:proofErr w:type="spellStart"/>
            <w:r>
              <w:rPr>
                <w:rFonts w:eastAsia="Times New Roman" w:cs="Calibri"/>
                <w:color w:val="000000"/>
                <w:lang w:eastAsia="pt-BR"/>
              </w:rPr>
              <w:t>Decision</w:t>
            </w:r>
            <w:proofErr w:type="spellEnd"/>
            <w:r>
              <w:rPr>
                <w:rFonts w:eastAsia="Times New Roman" w:cs="Calibri"/>
                <w:color w:val="000000"/>
                <w:lang w:eastAsia="pt-BR"/>
              </w:rPr>
              <w:t xml:space="preserve"> </w:t>
            </w:r>
            <w:proofErr w:type="spellStart"/>
            <w:r>
              <w:rPr>
                <w:rFonts w:eastAsia="Times New Roman" w:cs="Calibri"/>
                <w:color w:val="000000"/>
                <w:lang w:eastAsia="pt-BR"/>
              </w:rPr>
              <w:t>Tree</w:t>
            </w:r>
            <w:proofErr w:type="spellEnd"/>
            <w:r>
              <w:rPr>
                <w:rFonts w:eastAsia="Times New Roman" w:cs="Calibri"/>
                <w:color w:val="000000"/>
                <w:lang w:eastAsia="pt-BR"/>
              </w:rPr>
              <w:t xml:space="preserve"> Regressor</w:t>
            </w:r>
          </w:p>
        </w:tc>
        <w:tc>
          <w:tcPr>
            <w:tcW w:w="1676" w:type="dxa"/>
            <w:tcBorders>
              <w:top w:val="single" w:sz="4" w:space="0" w:color="000000"/>
              <w:bottom w:val="single" w:sz="4" w:space="0" w:color="auto"/>
              <w:right w:val="single" w:sz="4" w:space="0" w:color="000000"/>
            </w:tcBorders>
            <w:shd w:val="clear" w:color="auto" w:fill="auto"/>
            <w:vAlign w:val="center"/>
          </w:tcPr>
          <w:p w14:paraId="48A542BE" w14:textId="77777777" w:rsidR="000C3DE8" w:rsidRDefault="00503913">
            <w:pPr>
              <w:spacing w:after="0" w:line="240" w:lineRule="auto"/>
              <w:jc w:val="center"/>
              <w:rPr>
                <w:rFonts w:ascii="Calibri" w:eastAsia="Times New Roman" w:hAnsi="Calibri" w:cs="Calibri"/>
                <w:color w:val="000000"/>
                <w:lang w:eastAsia="pt-BR"/>
              </w:rPr>
            </w:pPr>
            <w:r>
              <w:rPr>
                <w:rFonts w:eastAsia="Times New Roman" w:cs="Calibri"/>
                <w:color w:val="000000"/>
                <w:lang w:eastAsia="pt-BR"/>
              </w:rPr>
              <w:t>0,148 ± 0,013</w:t>
            </w:r>
          </w:p>
        </w:tc>
        <w:tc>
          <w:tcPr>
            <w:tcW w:w="1827" w:type="dxa"/>
            <w:tcBorders>
              <w:top w:val="single" w:sz="4" w:space="0" w:color="000000"/>
              <w:bottom w:val="single" w:sz="4" w:space="0" w:color="auto"/>
              <w:right w:val="single" w:sz="4" w:space="0" w:color="000000"/>
            </w:tcBorders>
            <w:shd w:val="clear" w:color="auto" w:fill="auto"/>
            <w:vAlign w:val="center"/>
          </w:tcPr>
          <w:p w14:paraId="06FE45AC" w14:textId="77777777" w:rsidR="000C3DE8" w:rsidRDefault="00503913">
            <w:pPr>
              <w:spacing w:after="0" w:line="240" w:lineRule="auto"/>
              <w:jc w:val="center"/>
              <w:rPr>
                <w:rFonts w:ascii="Calibri" w:eastAsia="Times New Roman" w:hAnsi="Calibri" w:cs="Calibri"/>
                <w:color w:val="000000"/>
                <w:lang w:eastAsia="pt-BR"/>
              </w:rPr>
            </w:pPr>
            <w:r>
              <w:rPr>
                <w:rFonts w:eastAsia="Times New Roman" w:cs="Calibri"/>
                <w:color w:val="000000"/>
                <w:lang w:eastAsia="pt-BR"/>
              </w:rPr>
              <w:t>0,0739 ± 0,014</w:t>
            </w:r>
          </w:p>
        </w:tc>
        <w:tc>
          <w:tcPr>
            <w:tcW w:w="1677" w:type="dxa"/>
            <w:tcBorders>
              <w:top w:val="single" w:sz="4" w:space="0" w:color="000000"/>
              <w:bottom w:val="single" w:sz="4" w:space="0" w:color="auto"/>
            </w:tcBorders>
            <w:shd w:val="clear" w:color="auto" w:fill="auto"/>
            <w:vAlign w:val="center"/>
          </w:tcPr>
          <w:p w14:paraId="63C3985F" w14:textId="77777777" w:rsidR="000C3DE8" w:rsidRDefault="00503913">
            <w:pPr>
              <w:spacing w:after="0" w:line="240" w:lineRule="auto"/>
              <w:jc w:val="center"/>
              <w:rPr>
                <w:rFonts w:ascii="Calibri" w:eastAsia="Times New Roman" w:hAnsi="Calibri" w:cs="Calibri"/>
                <w:color w:val="000000"/>
                <w:lang w:eastAsia="pt-BR"/>
              </w:rPr>
            </w:pPr>
            <w:r>
              <w:rPr>
                <w:rFonts w:eastAsia="Times New Roman" w:cs="Calibri"/>
                <w:color w:val="000000"/>
                <w:lang w:eastAsia="pt-BR"/>
              </w:rPr>
              <w:t>0,627 ± 0,079</w:t>
            </w:r>
          </w:p>
        </w:tc>
      </w:tr>
    </w:tbl>
    <w:p w14:paraId="1EBA5074" w14:textId="28EC4E85" w:rsidR="000C3DE8" w:rsidRDefault="00503913" w:rsidP="001B16FA">
      <w:pPr>
        <w:jc w:val="center"/>
        <w:rPr>
          <w:rFonts w:cstheme="minorHAnsi"/>
        </w:rPr>
      </w:pPr>
      <w:r>
        <w:rPr>
          <w:rFonts w:cstheme="minorHAnsi"/>
        </w:rPr>
        <w:br/>
        <w:t>Tabela 2</w:t>
      </w:r>
      <w:r w:rsidR="001B16FA">
        <w:rPr>
          <w:rFonts w:cstheme="minorHAnsi"/>
        </w:rPr>
        <w:t>: Resultados obtidos dos modelos analisados em GODS.</w:t>
      </w:r>
    </w:p>
    <w:p w14:paraId="0C8D073B" w14:textId="1E3E3456" w:rsidR="00446593" w:rsidRPr="006B726A" w:rsidRDefault="00446593" w:rsidP="00446593">
      <w:pPr>
        <w:jc w:val="both"/>
      </w:pPr>
      <w:commentRangeStart w:id="4"/>
      <w:r w:rsidRPr="006B726A">
        <w:t xml:space="preserve">Os resultados obtidos da precificação em Ethereum e GODS foram tecnicamente iguais para os correspondentes modelos. Com relação aos modelos, o Random Forest Regressor e </w:t>
      </w:r>
      <w:proofErr w:type="spellStart"/>
      <w:r w:rsidRPr="006B726A">
        <w:t>Bagging</w:t>
      </w:r>
      <w:proofErr w:type="spellEnd"/>
      <w:r w:rsidRPr="006B726A">
        <w:t xml:space="preserve"> Regressor obtiveram os melhores resultados nas duas precificações, com os respectivos valores para ETH: EMA 0.124</w:t>
      </w:r>
      <w:r w:rsidRPr="006B726A">
        <w:rPr>
          <w:rFonts w:cstheme="minorHAnsi"/>
        </w:rPr>
        <w:t>±</w:t>
      </w:r>
      <w:r w:rsidRPr="006B726A">
        <w:t>0.008 e 0.130</w:t>
      </w:r>
      <w:r w:rsidRPr="006B726A">
        <w:rPr>
          <w:rFonts w:cstheme="minorHAnsi"/>
        </w:rPr>
        <w:t>±0.009</w:t>
      </w:r>
      <w:r w:rsidRPr="006B726A">
        <w:t>; EMQ 0,045</w:t>
      </w:r>
      <w:r w:rsidRPr="006B726A">
        <w:rPr>
          <w:rFonts w:cstheme="minorHAnsi"/>
        </w:rPr>
        <w:t>±0.006</w:t>
      </w:r>
      <w:r w:rsidRPr="006B726A">
        <w:t xml:space="preserve"> e 0.049</w:t>
      </w:r>
      <w:r w:rsidRPr="006B726A">
        <w:rPr>
          <w:rFonts w:cstheme="minorHAnsi"/>
        </w:rPr>
        <w:t>±0.007</w:t>
      </w:r>
      <w:r w:rsidRPr="006B726A">
        <w:t>; R</w:t>
      </w:r>
      <w:r w:rsidRPr="006B726A">
        <w:rPr>
          <w:vertAlign w:val="superscript"/>
        </w:rPr>
        <w:t>2</w:t>
      </w:r>
      <w:r w:rsidRPr="006B726A">
        <w:t xml:space="preserve"> 0.773</w:t>
      </w:r>
      <w:r w:rsidRPr="006B726A">
        <w:rPr>
          <w:rFonts w:cstheme="minorHAnsi"/>
        </w:rPr>
        <w:t>±0.028</w:t>
      </w:r>
      <w:r w:rsidRPr="006B726A">
        <w:t xml:space="preserve"> e 0.752</w:t>
      </w:r>
      <w:r w:rsidRPr="006B726A">
        <w:rPr>
          <w:rFonts w:cstheme="minorHAnsi"/>
        </w:rPr>
        <w:t>±0.034</w:t>
      </w:r>
      <w:r w:rsidRPr="006B726A">
        <w:t>. Ademais, os seguintes valores para GODS: EMA 0,125</w:t>
      </w:r>
      <w:r w:rsidRPr="006B726A">
        <w:rPr>
          <w:rFonts w:cstheme="minorHAnsi"/>
        </w:rPr>
        <w:t>±0.007</w:t>
      </w:r>
      <w:r w:rsidRPr="006B726A">
        <w:t xml:space="preserve"> e 0.1320.008; EMQ 0,044</w:t>
      </w:r>
      <w:r w:rsidRPr="006B726A">
        <w:rPr>
          <w:rFonts w:cstheme="minorHAnsi"/>
        </w:rPr>
        <w:t>±0.005</w:t>
      </w:r>
      <w:r w:rsidRPr="006B726A">
        <w:t xml:space="preserve"> e 0.049</w:t>
      </w:r>
      <w:r w:rsidRPr="006B726A">
        <w:rPr>
          <w:rFonts w:cstheme="minorHAnsi"/>
        </w:rPr>
        <w:t>±0.006</w:t>
      </w:r>
      <w:r w:rsidRPr="006B726A">
        <w:t>; R</w:t>
      </w:r>
      <w:r w:rsidRPr="006B726A">
        <w:rPr>
          <w:vertAlign w:val="superscript"/>
        </w:rPr>
        <w:t>2</w:t>
      </w:r>
      <w:r w:rsidRPr="006B726A">
        <w:t xml:space="preserve"> 0.778</w:t>
      </w:r>
      <w:r w:rsidRPr="006B726A">
        <w:rPr>
          <w:rFonts w:cstheme="minorHAnsi"/>
        </w:rPr>
        <w:t>±0.025</w:t>
      </w:r>
      <w:r w:rsidRPr="006B726A">
        <w:t xml:space="preserve"> e 0.753</w:t>
      </w:r>
      <w:r w:rsidRPr="006B726A">
        <w:rPr>
          <w:rFonts w:cstheme="minorHAnsi"/>
        </w:rPr>
        <w:t>±0.030</w:t>
      </w:r>
      <w:r w:rsidRPr="006B726A">
        <w:t>.</w:t>
      </w:r>
      <w:commentRangeEnd w:id="4"/>
      <w:r w:rsidRPr="006B726A">
        <w:commentReference w:id="4"/>
      </w:r>
    </w:p>
    <w:p w14:paraId="6CAD36B3" w14:textId="77777777" w:rsidR="000C3DE8" w:rsidRDefault="00503913">
      <w:pPr>
        <w:rPr>
          <w:sz w:val="44"/>
          <w:szCs w:val="44"/>
        </w:rPr>
      </w:pPr>
      <w:r>
        <w:rPr>
          <w:sz w:val="44"/>
          <w:szCs w:val="44"/>
        </w:rPr>
        <w:lastRenderedPageBreak/>
        <w:t>Conclusão</w:t>
      </w:r>
    </w:p>
    <w:p w14:paraId="72889538" w14:textId="08D59FDD" w:rsidR="00446593" w:rsidRDefault="00446593" w:rsidP="00446593">
      <w:pPr>
        <w:jc w:val="both"/>
      </w:pPr>
      <w:r>
        <w:t>Analisando comparativamente os modelos infere</w:t>
      </w:r>
      <w:r w:rsidR="007130DD">
        <w:t>m</w:t>
      </w:r>
      <w:r>
        <w:t xml:space="preserve"> que a aprendizagem de máquina pode auxiliar jogadores assertivamente na compra e venda de suas cartas NFT’s.</w:t>
      </w:r>
    </w:p>
    <w:p w14:paraId="60DA9B09" w14:textId="1F425CF0" w:rsidR="00410A13" w:rsidRDefault="00410A13" w:rsidP="00446593">
      <w:pPr>
        <w:jc w:val="both"/>
      </w:pPr>
      <w:r w:rsidRPr="002F387C">
        <w:rPr>
          <w:highlight w:val="yellow"/>
        </w:rPr>
        <w:t xml:space="preserve">No que diz as limitações do presente estudo, </w:t>
      </w:r>
      <w:r w:rsidR="007130DD" w:rsidRPr="002F387C">
        <w:rPr>
          <w:highlight w:val="yellow"/>
        </w:rPr>
        <w:t>para realizar a estimativa de preços foi utilizado informações de cartas já estabelecidas no jogo</w:t>
      </w:r>
      <w:r w:rsidR="003E601D" w:rsidRPr="002F387C">
        <w:rPr>
          <w:highlight w:val="yellow"/>
        </w:rPr>
        <w:t>, como número de vendas semanais, variação de preços semanais e tendência</w:t>
      </w:r>
      <w:r w:rsidR="007130DD" w:rsidRPr="002F387C">
        <w:rPr>
          <w:highlight w:val="yellow"/>
        </w:rPr>
        <w:t>, ou seja, o modelo deste estudo se limita as cartas já existentes</w:t>
      </w:r>
      <w:r w:rsidR="003E601D" w:rsidRPr="002F387C">
        <w:rPr>
          <w:highlight w:val="yellow"/>
        </w:rPr>
        <w:t xml:space="preserve">, </w:t>
      </w:r>
      <w:r w:rsidR="007130DD" w:rsidRPr="002F387C">
        <w:rPr>
          <w:highlight w:val="yellow"/>
        </w:rPr>
        <w:t>sendo necessárias alterações para estimar preços de cartas a serem lançadas.</w:t>
      </w:r>
    </w:p>
    <w:p w14:paraId="53018EA7" w14:textId="63CB83DB" w:rsidR="006D357C" w:rsidRDefault="00503913" w:rsidP="00446593">
      <w:pPr>
        <w:jc w:val="both"/>
      </w:pPr>
      <w:r>
        <w:t xml:space="preserve">Para futuras pesquisas sugere-se: a estimativa de preços utilizando outros algoritmos, inclusive redes neurais; incluir a etapa de </w:t>
      </w:r>
      <w:proofErr w:type="spellStart"/>
      <w:r>
        <w:t>hipertunagem</w:t>
      </w:r>
      <w:proofErr w:type="spellEnd"/>
      <w:r>
        <w:t xml:space="preserve"> de parâmetros dos modelos avaliados; estimar valores futuros para os ativos da coleção, considerando a variável tempo e a liquidez do ativo</w:t>
      </w:r>
      <w:r w:rsidR="00410A13">
        <w:t>.</w:t>
      </w:r>
      <w:r>
        <w:t xml:space="preserve"> </w:t>
      </w:r>
      <w:r w:rsidR="00410A13">
        <w:t>A</w:t>
      </w:r>
      <w:r w:rsidR="00446593">
        <w:t xml:space="preserve">demais, diante dos resultados propõem-se a criação de um programa para </w:t>
      </w:r>
      <w:r w:rsidR="00410A13">
        <w:t>realizar a estimativa de preços das cartas existentes de modo simplificado e de fácil utilização, para que os jogadores consigam analisar quantitativamente valores justos e atuais de compra e venda das cartas. P</w:t>
      </w:r>
      <w:r>
        <w:t>or fim, a aplicação destes métodos para outros jogos ou coleções de NFT’s</w:t>
      </w:r>
      <w:r w:rsidR="00410A13">
        <w:t>.</w:t>
      </w:r>
    </w:p>
    <w:p w14:paraId="0B3DDD4B" w14:textId="77777777" w:rsidR="00410A13" w:rsidRDefault="00410A13" w:rsidP="00446593">
      <w:pPr>
        <w:jc w:val="both"/>
      </w:pPr>
    </w:p>
    <w:p w14:paraId="5AC10FF1" w14:textId="3B8D7149" w:rsidR="006D357C" w:rsidRDefault="006D357C"/>
    <w:p w14:paraId="0AE74236" w14:textId="3C4975AC" w:rsidR="006D357C" w:rsidRPr="00880E98" w:rsidRDefault="00880E98">
      <w:pPr>
        <w:rPr>
          <w:sz w:val="44"/>
          <w:szCs w:val="44"/>
        </w:rPr>
      </w:pPr>
      <w:r>
        <w:rPr>
          <w:sz w:val="44"/>
          <w:szCs w:val="44"/>
        </w:rPr>
        <w:t>Referências</w:t>
      </w:r>
    </w:p>
    <w:p w14:paraId="142995A9" w14:textId="61264095" w:rsidR="000C3DE8" w:rsidRPr="00880E98" w:rsidRDefault="003E601D" w:rsidP="00880E98">
      <w:pPr>
        <w:pStyle w:val="NormalWeb"/>
        <w:spacing w:before="0" w:beforeAutospacing="0" w:after="0" w:afterAutospacing="0" w:line="480" w:lineRule="atLeast"/>
        <w:ind w:left="720" w:hanging="720"/>
        <w:rPr>
          <w:rFonts w:asciiTheme="minorHAnsi" w:eastAsiaTheme="minorHAnsi" w:hAnsiTheme="minorHAnsi" w:cstheme="minorHAnsi"/>
          <w:sz w:val="22"/>
          <w:szCs w:val="22"/>
          <w:lang w:val="en-US" w:eastAsia="en-US"/>
        </w:rPr>
      </w:pPr>
      <w:r w:rsidRPr="00880E98">
        <w:rPr>
          <w:rFonts w:asciiTheme="minorHAnsi" w:eastAsiaTheme="minorHAnsi" w:hAnsiTheme="minorHAnsi" w:cstheme="minorHAnsi"/>
          <w:sz w:val="22"/>
          <w:szCs w:val="22"/>
          <w:lang w:val="en-US" w:eastAsia="en-US"/>
        </w:rPr>
        <w:t>Nakamoto, S. (2008). Bitcoin: A peer-to-peer electronic cash system. Decentralized Business Review, 21260.</w:t>
      </w:r>
    </w:p>
    <w:p w14:paraId="78E0C65F" w14:textId="49843B8C" w:rsidR="003E601D" w:rsidRPr="00880E98" w:rsidRDefault="003E601D" w:rsidP="00880E98">
      <w:pPr>
        <w:pStyle w:val="NormalWeb"/>
        <w:spacing w:before="0" w:beforeAutospacing="0" w:after="0" w:afterAutospacing="0" w:line="480" w:lineRule="atLeast"/>
        <w:ind w:left="720" w:hanging="720"/>
        <w:rPr>
          <w:rFonts w:asciiTheme="minorHAnsi" w:eastAsiaTheme="minorHAnsi" w:hAnsiTheme="minorHAnsi" w:cstheme="minorHAnsi"/>
          <w:sz w:val="22"/>
          <w:szCs w:val="22"/>
          <w:lang w:val="en-US" w:eastAsia="en-US"/>
        </w:rPr>
      </w:pPr>
      <w:proofErr w:type="spellStart"/>
      <w:r w:rsidRPr="00880E98">
        <w:rPr>
          <w:rFonts w:asciiTheme="minorHAnsi" w:eastAsiaTheme="minorHAnsi" w:hAnsiTheme="minorHAnsi" w:cstheme="minorHAnsi"/>
          <w:sz w:val="22"/>
          <w:szCs w:val="22"/>
          <w:lang w:val="en-US" w:eastAsia="en-US"/>
        </w:rPr>
        <w:t>Nofer</w:t>
      </w:r>
      <w:proofErr w:type="spellEnd"/>
      <w:r w:rsidRPr="00880E98">
        <w:rPr>
          <w:rFonts w:asciiTheme="minorHAnsi" w:eastAsiaTheme="minorHAnsi" w:hAnsiTheme="minorHAnsi" w:cstheme="minorHAnsi"/>
          <w:sz w:val="22"/>
          <w:szCs w:val="22"/>
          <w:lang w:val="en-US" w:eastAsia="en-US"/>
        </w:rPr>
        <w:t xml:space="preserve">, M., </w:t>
      </w:r>
      <w:proofErr w:type="spellStart"/>
      <w:r w:rsidRPr="00880E98">
        <w:rPr>
          <w:rFonts w:asciiTheme="minorHAnsi" w:eastAsiaTheme="minorHAnsi" w:hAnsiTheme="minorHAnsi" w:cstheme="minorHAnsi"/>
          <w:sz w:val="22"/>
          <w:szCs w:val="22"/>
          <w:lang w:val="en-US" w:eastAsia="en-US"/>
        </w:rPr>
        <w:t>Gomber</w:t>
      </w:r>
      <w:proofErr w:type="spellEnd"/>
      <w:r w:rsidRPr="00880E98">
        <w:rPr>
          <w:rFonts w:asciiTheme="minorHAnsi" w:eastAsiaTheme="minorHAnsi" w:hAnsiTheme="minorHAnsi" w:cstheme="minorHAnsi"/>
          <w:sz w:val="22"/>
          <w:szCs w:val="22"/>
          <w:lang w:val="en-US" w:eastAsia="en-US"/>
        </w:rPr>
        <w:t xml:space="preserve">, P., </w:t>
      </w:r>
      <w:proofErr w:type="spellStart"/>
      <w:r w:rsidRPr="00880E98">
        <w:rPr>
          <w:rFonts w:asciiTheme="minorHAnsi" w:eastAsiaTheme="minorHAnsi" w:hAnsiTheme="minorHAnsi" w:cstheme="minorHAnsi"/>
          <w:sz w:val="22"/>
          <w:szCs w:val="22"/>
          <w:lang w:val="en-US" w:eastAsia="en-US"/>
        </w:rPr>
        <w:t>Hinz</w:t>
      </w:r>
      <w:proofErr w:type="spellEnd"/>
      <w:r w:rsidRPr="00880E98">
        <w:rPr>
          <w:rFonts w:asciiTheme="minorHAnsi" w:eastAsiaTheme="minorHAnsi" w:hAnsiTheme="minorHAnsi" w:cstheme="minorHAnsi"/>
          <w:sz w:val="22"/>
          <w:szCs w:val="22"/>
          <w:lang w:val="en-US" w:eastAsia="en-US"/>
        </w:rPr>
        <w:t xml:space="preserve">, O., &amp; </w:t>
      </w:r>
      <w:proofErr w:type="spellStart"/>
      <w:r w:rsidRPr="00880E98">
        <w:rPr>
          <w:rFonts w:asciiTheme="minorHAnsi" w:eastAsiaTheme="minorHAnsi" w:hAnsiTheme="minorHAnsi" w:cstheme="minorHAnsi"/>
          <w:sz w:val="22"/>
          <w:szCs w:val="22"/>
          <w:lang w:val="en-US" w:eastAsia="en-US"/>
        </w:rPr>
        <w:t>Schiereck</w:t>
      </w:r>
      <w:proofErr w:type="spellEnd"/>
      <w:r w:rsidRPr="00880E98">
        <w:rPr>
          <w:rFonts w:asciiTheme="minorHAnsi" w:eastAsiaTheme="minorHAnsi" w:hAnsiTheme="minorHAnsi" w:cstheme="minorHAnsi"/>
          <w:sz w:val="22"/>
          <w:szCs w:val="22"/>
          <w:lang w:val="en-US" w:eastAsia="en-US"/>
        </w:rPr>
        <w:t xml:space="preserve">, D. (2017). Blockchain. Business &amp; Information Systems Engineering, 59(3), 183-187. </w:t>
      </w:r>
    </w:p>
    <w:p w14:paraId="00377BCC" w14:textId="77E45BD8" w:rsidR="00AD4EDC" w:rsidRPr="00880E98" w:rsidRDefault="00AD4EDC" w:rsidP="00AD4EDC">
      <w:pPr>
        <w:pStyle w:val="NormalWeb"/>
        <w:spacing w:before="0" w:beforeAutospacing="0" w:after="0" w:afterAutospacing="0" w:line="480" w:lineRule="atLeast"/>
        <w:ind w:left="720" w:hanging="720"/>
        <w:rPr>
          <w:rFonts w:asciiTheme="minorHAnsi" w:eastAsiaTheme="minorHAnsi" w:hAnsiTheme="minorHAnsi" w:cstheme="minorHAnsi"/>
          <w:sz w:val="22"/>
          <w:szCs w:val="22"/>
          <w:lang w:val="en-US" w:eastAsia="en-US"/>
        </w:rPr>
      </w:pPr>
      <w:proofErr w:type="spellStart"/>
      <w:r w:rsidRPr="00880E98">
        <w:rPr>
          <w:rFonts w:asciiTheme="minorHAnsi" w:eastAsiaTheme="minorHAnsi" w:hAnsiTheme="minorHAnsi" w:cstheme="minorHAnsi"/>
          <w:sz w:val="22"/>
          <w:szCs w:val="22"/>
          <w:lang w:val="en-US" w:eastAsia="en-US"/>
        </w:rPr>
        <w:t>Vogelsteller</w:t>
      </w:r>
      <w:proofErr w:type="spellEnd"/>
      <w:r w:rsidRPr="00880E98">
        <w:rPr>
          <w:rFonts w:asciiTheme="minorHAnsi" w:eastAsiaTheme="minorHAnsi" w:hAnsiTheme="minorHAnsi" w:cstheme="minorHAnsi"/>
          <w:sz w:val="22"/>
          <w:szCs w:val="22"/>
          <w:lang w:val="en-US" w:eastAsia="en-US"/>
        </w:rPr>
        <w:t xml:space="preserve">, F., &amp; </w:t>
      </w:r>
      <w:proofErr w:type="spellStart"/>
      <w:r w:rsidRPr="00880E98">
        <w:rPr>
          <w:rFonts w:asciiTheme="minorHAnsi" w:eastAsiaTheme="minorHAnsi" w:hAnsiTheme="minorHAnsi" w:cstheme="minorHAnsi"/>
          <w:sz w:val="22"/>
          <w:szCs w:val="22"/>
          <w:lang w:val="en-US" w:eastAsia="en-US"/>
        </w:rPr>
        <w:t>Buterin</w:t>
      </w:r>
      <w:proofErr w:type="spellEnd"/>
      <w:r w:rsidRPr="00880E98">
        <w:rPr>
          <w:rFonts w:asciiTheme="minorHAnsi" w:eastAsiaTheme="minorHAnsi" w:hAnsiTheme="minorHAnsi" w:cstheme="minorHAnsi"/>
          <w:sz w:val="22"/>
          <w:szCs w:val="22"/>
          <w:lang w:val="en-US" w:eastAsia="en-US"/>
        </w:rPr>
        <w:t>, V. (2015, November 19). EIP-20: Token Standard [Review of EIP-20: Token Standard]. EIP-20: Token Standard. https://eips.ethereum.org/EIPS/eip-20</w:t>
      </w:r>
    </w:p>
    <w:p w14:paraId="6B94F123" w14:textId="77777777" w:rsidR="00AD4EDC" w:rsidRPr="00880E98" w:rsidRDefault="00AD4EDC" w:rsidP="00880E98">
      <w:pPr>
        <w:pStyle w:val="NormalWeb"/>
        <w:spacing w:before="0" w:beforeAutospacing="0" w:after="0" w:afterAutospacing="0" w:line="480" w:lineRule="atLeast"/>
        <w:ind w:left="720" w:hanging="720"/>
        <w:rPr>
          <w:rFonts w:asciiTheme="minorHAnsi" w:eastAsiaTheme="minorHAnsi" w:hAnsiTheme="minorHAnsi" w:cstheme="minorHAnsi"/>
          <w:sz w:val="22"/>
          <w:szCs w:val="22"/>
          <w:lang w:val="en-US" w:eastAsia="en-US"/>
        </w:rPr>
      </w:pPr>
      <w:r w:rsidRPr="00880E98">
        <w:rPr>
          <w:rFonts w:asciiTheme="minorHAnsi" w:eastAsiaTheme="minorHAnsi" w:hAnsiTheme="minorHAnsi" w:cstheme="minorHAnsi"/>
          <w:sz w:val="22"/>
          <w:szCs w:val="22"/>
          <w:lang w:val="en-US" w:eastAsia="en-US"/>
        </w:rPr>
        <w:t>‌</w:t>
      </w:r>
    </w:p>
    <w:p w14:paraId="61FBCEC9" w14:textId="4BF3B61D" w:rsidR="00FC32C5" w:rsidRPr="00880E98" w:rsidRDefault="00FC32C5" w:rsidP="00FC32C5">
      <w:pPr>
        <w:pStyle w:val="NormalWeb"/>
        <w:spacing w:before="0" w:beforeAutospacing="0" w:after="0" w:afterAutospacing="0" w:line="480" w:lineRule="atLeast"/>
        <w:ind w:left="720" w:hanging="720"/>
        <w:rPr>
          <w:rFonts w:asciiTheme="minorHAnsi" w:eastAsiaTheme="minorHAnsi" w:hAnsiTheme="minorHAnsi" w:cstheme="minorHAnsi"/>
          <w:sz w:val="22"/>
          <w:szCs w:val="22"/>
          <w:lang w:val="en-US" w:eastAsia="en-US"/>
        </w:rPr>
      </w:pPr>
    </w:p>
    <w:p w14:paraId="1438E7AA" w14:textId="77777777" w:rsidR="00FC32C5" w:rsidRPr="00880E98" w:rsidRDefault="00FC32C5" w:rsidP="00880E98">
      <w:pPr>
        <w:pStyle w:val="NormalWeb"/>
        <w:spacing w:before="0" w:beforeAutospacing="0" w:after="0" w:afterAutospacing="0" w:line="480" w:lineRule="atLeast"/>
        <w:ind w:left="720" w:hanging="720"/>
        <w:rPr>
          <w:rFonts w:asciiTheme="minorHAnsi" w:eastAsiaTheme="minorHAnsi" w:hAnsiTheme="minorHAnsi" w:cstheme="minorHAnsi"/>
          <w:sz w:val="22"/>
          <w:szCs w:val="22"/>
          <w:lang w:val="en-US" w:eastAsia="en-US"/>
        </w:rPr>
      </w:pPr>
      <w:r w:rsidRPr="00880E98">
        <w:rPr>
          <w:rFonts w:asciiTheme="minorHAnsi" w:eastAsiaTheme="minorHAnsi" w:hAnsiTheme="minorHAnsi" w:cstheme="minorHAnsi"/>
          <w:sz w:val="22"/>
          <w:szCs w:val="22"/>
          <w:lang w:val="en-US" w:eastAsia="en-US"/>
        </w:rPr>
        <w:t>‌</w:t>
      </w:r>
    </w:p>
    <w:p w14:paraId="5258075A" w14:textId="661C14C9" w:rsidR="000C3DE8" w:rsidRPr="00880E98" w:rsidRDefault="000C3DE8" w:rsidP="00765608">
      <w:pPr>
        <w:pStyle w:val="NormalWeb"/>
        <w:spacing w:before="0" w:beforeAutospacing="0" w:after="0" w:afterAutospacing="0" w:line="480" w:lineRule="atLeast"/>
        <w:ind w:left="720" w:hanging="720"/>
        <w:rPr>
          <w:rFonts w:asciiTheme="minorHAnsi" w:eastAsiaTheme="minorHAnsi" w:hAnsiTheme="minorHAnsi" w:cstheme="minorHAnsi"/>
          <w:sz w:val="22"/>
          <w:szCs w:val="22"/>
          <w:lang w:val="en-US" w:eastAsia="en-US"/>
        </w:rPr>
      </w:pPr>
    </w:p>
    <w:p w14:paraId="7F8560F9" w14:textId="77777777" w:rsidR="00765608" w:rsidRPr="00880E98" w:rsidRDefault="00765608" w:rsidP="00765608">
      <w:pPr>
        <w:pStyle w:val="NormalWeb"/>
        <w:spacing w:before="0" w:beforeAutospacing="0" w:after="0" w:afterAutospacing="0" w:line="480" w:lineRule="atLeast"/>
        <w:ind w:left="720" w:hanging="720"/>
        <w:rPr>
          <w:rFonts w:asciiTheme="minorHAnsi" w:eastAsiaTheme="minorHAnsi" w:hAnsiTheme="minorHAnsi" w:cstheme="minorHAnsi"/>
          <w:sz w:val="22"/>
          <w:szCs w:val="22"/>
          <w:lang w:val="en-US" w:eastAsia="en-US"/>
        </w:rPr>
      </w:pPr>
    </w:p>
    <w:p w14:paraId="09A3558A" w14:textId="16C02DE2" w:rsidR="00FC32C5" w:rsidRPr="00FC32C5" w:rsidRDefault="00FC32C5" w:rsidP="00FC32C5">
      <w:pPr>
        <w:pStyle w:val="NormalWeb"/>
        <w:spacing w:before="0" w:beforeAutospacing="0" w:after="0" w:afterAutospacing="0" w:line="480" w:lineRule="atLeast"/>
        <w:ind w:left="720" w:hanging="720"/>
        <w:rPr>
          <w:rFonts w:asciiTheme="minorHAnsi" w:eastAsiaTheme="minorHAnsi" w:hAnsiTheme="minorHAnsi" w:cstheme="minorHAnsi"/>
          <w:sz w:val="22"/>
          <w:szCs w:val="22"/>
          <w:lang w:val="en-US" w:eastAsia="en-US"/>
        </w:rPr>
      </w:pPr>
      <w:proofErr w:type="spellStart"/>
      <w:r w:rsidRPr="00FC32C5">
        <w:rPr>
          <w:rFonts w:asciiTheme="minorHAnsi" w:eastAsiaTheme="minorHAnsi" w:hAnsiTheme="minorHAnsi" w:cstheme="minorHAnsi"/>
          <w:sz w:val="22"/>
          <w:szCs w:val="22"/>
          <w:lang w:val="en-US" w:eastAsia="en-US"/>
        </w:rPr>
        <w:t>Entriken</w:t>
      </w:r>
      <w:proofErr w:type="spellEnd"/>
      <w:r w:rsidRPr="00FC32C5">
        <w:rPr>
          <w:rFonts w:asciiTheme="minorHAnsi" w:eastAsiaTheme="minorHAnsi" w:hAnsiTheme="minorHAnsi" w:cstheme="minorHAnsi"/>
          <w:sz w:val="22"/>
          <w:szCs w:val="22"/>
          <w:lang w:val="en-US" w:eastAsia="en-US"/>
        </w:rPr>
        <w:t>, W., Shirley, D., Evans, J., &amp; Sachs, N. (2018, January 24). EIP-721: Non-Fungible Token Standard [Review of EIP-721: Non-Fungible Token Standard]. https://eips.ethereum.org/EIPS/eip-721</w:t>
      </w:r>
    </w:p>
    <w:p w14:paraId="3A828DA6" w14:textId="5E133623" w:rsidR="000C3DE8" w:rsidRPr="00880E98" w:rsidRDefault="00FC32C5" w:rsidP="00F522CF">
      <w:pPr>
        <w:pStyle w:val="NormalWeb"/>
        <w:spacing w:before="0" w:beforeAutospacing="0" w:after="0" w:afterAutospacing="0" w:line="480" w:lineRule="atLeast"/>
        <w:ind w:left="720" w:hanging="720"/>
        <w:rPr>
          <w:rFonts w:asciiTheme="minorHAnsi" w:eastAsiaTheme="minorHAnsi" w:hAnsiTheme="minorHAnsi" w:cstheme="minorHAnsi"/>
          <w:sz w:val="22"/>
          <w:szCs w:val="22"/>
          <w:lang w:val="en-US" w:eastAsia="en-US"/>
        </w:rPr>
      </w:pPr>
      <w:r w:rsidRPr="00880E98">
        <w:rPr>
          <w:rFonts w:asciiTheme="minorHAnsi" w:eastAsiaTheme="minorHAnsi" w:hAnsiTheme="minorHAnsi" w:cstheme="minorHAnsi"/>
          <w:sz w:val="22"/>
          <w:szCs w:val="22"/>
          <w:lang w:val="en-US" w:eastAsia="en-US"/>
        </w:rPr>
        <w:lastRenderedPageBreak/>
        <w:t>‌</w:t>
      </w:r>
      <w:r w:rsidR="002B45FE" w:rsidRPr="00880E98">
        <w:rPr>
          <w:rFonts w:asciiTheme="minorHAnsi" w:eastAsiaTheme="minorHAnsi" w:hAnsiTheme="minorHAnsi" w:cstheme="minorHAnsi"/>
          <w:sz w:val="22"/>
          <w:szCs w:val="22"/>
          <w:lang w:val="en-US" w:eastAsia="en-US"/>
        </w:rPr>
        <w:t xml:space="preserve">Connolly, A., Ferguson, J., &amp; Ferguson, R. (2018). immutable x </w:t>
      </w:r>
      <w:proofErr w:type="spellStart"/>
      <w:r w:rsidR="002B45FE" w:rsidRPr="00880E98">
        <w:rPr>
          <w:rFonts w:asciiTheme="minorHAnsi" w:eastAsiaTheme="minorHAnsi" w:hAnsiTheme="minorHAnsi" w:cstheme="minorHAnsi"/>
          <w:sz w:val="22"/>
          <w:szCs w:val="22"/>
          <w:lang w:val="en-US" w:eastAsia="en-US"/>
        </w:rPr>
        <w:t>api</w:t>
      </w:r>
      <w:proofErr w:type="spellEnd"/>
      <w:r w:rsidR="002B45FE" w:rsidRPr="00880E98">
        <w:rPr>
          <w:rFonts w:asciiTheme="minorHAnsi" w:eastAsiaTheme="minorHAnsi" w:hAnsiTheme="minorHAnsi" w:cstheme="minorHAnsi"/>
          <w:sz w:val="22"/>
          <w:szCs w:val="22"/>
          <w:lang w:val="en-US" w:eastAsia="en-US"/>
        </w:rPr>
        <w:t xml:space="preserve"> [Review of immutable x </w:t>
      </w:r>
      <w:proofErr w:type="spellStart"/>
      <w:r w:rsidR="002B45FE" w:rsidRPr="00880E98">
        <w:rPr>
          <w:rFonts w:asciiTheme="minorHAnsi" w:eastAsiaTheme="minorHAnsi" w:hAnsiTheme="minorHAnsi" w:cstheme="minorHAnsi"/>
          <w:sz w:val="22"/>
          <w:szCs w:val="22"/>
          <w:lang w:val="en-US" w:eastAsia="en-US"/>
        </w:rPr>
        <w:t>api</w:t>
      </w:r>
      <w:proofErr w:type="spellEnd"/>
      <w:r w:rsidR="002B45FE" w:rsidRPr="00880E98">
        <w:rPr>
          <w:rFonts w:asciiTheme="minorHAnsi" w:eastAsiaTheme="minorHAnsi" w:hAnsiTheme="minorHAnsi" w:cstheme="minorHAnsi"/>
          <w:sz w:val="22"/>
          <w:szCs w:val="22"/>
          <w:lang w:val="en-US" w:eastAsia="en-US"/>
        </w:rPr>
        <w:t>]. Immutable X. https://www.immutable.com</w:t>
      </w:r>
    </w:p>
    <w:p w14:paraId="2CA1C3A4" w14:textId="70200080" w:rsidR="000C3DE8" w:rsidRPr="00880E98" w:rsidRDefault="00653C67" w:rsidP="00880E98">
      <w:pPr>
        <w:pStyle w:val="NormalWeb"/>
        <w:spacing w:before="0" w:beforeAutospacing="0" w:after="0" w:afterAutospacing="0" w:line="480" w:lineRule="atLeast"/>
        <w:ind w:left="720" w:hanging="720"/>
        <w:rPr>
          <w:rFonts w:asciiTheme="minorHAnsi" w:eastAsiaTheme="minorHAnsi" w:hAnsiTheme="minorHAnsi" w:cstheme="minorHAnsi"/>
          <w:sz w:val="22"/>
          <w:szCs w:val="22"/>
          <w:lang w:val="en-US" w:eastAsia="en-US"/>
        </w:rPr>
      </w:pPr>
      <w:proofErr w:type="spellStart"/>
      <w:r w:rsidRPr="00880E98">
        <w:rPr>
          <w:rFonts w:asciiTheme="minorHAnsi" w:eastAsiaTheme="minorHAnsi" w:hAnsiTheme="minorHAnsi" w:cstheme="minorHAnsi"/>
          <w:sz w:val="22"/>
          <w:szCs w:val="22"/>
          <w:lang w:val="en-US" w:eastAsia="en-US"/>
        </w:rPr>
        <w:t>Pedregosa</w:t>
      </w:r>
      <w:proofErr w:type="spellEnd"/>
      <w:r w:rsidRPr="00880E98">
        <w:rPr>
          <w:rFonts w:asciiTheme="minorHAnsi" w:eastAsiaTheme="minorHAnsi" w:hAnsiTheme="minorHAnsi" w:cstheme="minorHAnsi"/>
          <w:sz w:val="22"/>
          <w:szCs w:val="22"/>
          <w:lang w:val="en-US" w:eastAsia="en-US"/>
        </w:rPr>
        <w:t xml:space="preserve">, F., </w:t>
      </w:r>
      <w:proofErr w:type="spellStart"/>
      <w:r w:rsidRPr="00880E98">
        <w:rPr>
          <w:rFonts w:asciiTheme="minorHAnsi" w:eastAsiaTheme="minorHAnsi" w:hAnsiTheme="minorHAnsi" w:cstheme="minorHAnsi"/>
          <w:sz w:val="22"/>
          <w:szCs w:val="22"/>
          <w:lang w:val="en-US" w:eastAsia="en-US"/>
        </w:rPr>
        <w:t>Varoquaux</w:t>
      </w:r>
      <w:proofErr w:type="spellEnd"/>
      <w:r w:rsidRPr="00880E98">
        <w:rPr>
          <w:rFonts w:asciiTheme="minorHAnsi" w:eastAsiaTheme="minorHAnsi" w:hAnsiTheme="minorHAnsi" w:cstheme="minorHAnsi"/>
          <w:sz w:val="22"/>
          <w:szCs w:val="22"/>
          <w:lang w:val="en-US" w:eastAsia="en-US"/>
        </w:rPr>
        <w:t xml:space="preserve">, G., </w:t>
      </w:r>
      <w:proofErr w:type="spellStart"/>
      <w:r w:rsidRPr="00880E98">
        <w:rPr>
          <w:rFonts w:asciiTheme="minorHAnsi" w:eastAsiaTheme="minorHAnsi" w:hAnsiTheme="minorHAnsi" w:cstheme="minorHAnsi"/>
          <w:sz w:val="22"/>
          <w:szCs w:val="22"/>
          <w:lang w:val="en-US" w:eastAsia="en-US"/>
        </w:rPr>
        <w:t>Gramfort</w:t>
      </w:r>
      <w:proofErr w:type="spellEnd"/>
      <w:r w:rsidRPr="00880E98">
        <w:rPr>
          <w:rFonts w:asciiTheme="minorHAnsi" w:eastAsiaTheme="minorHAnsi" w:hAnsiTheme="minorHAnsi" w:cstheme="minorHAnsi"/>
          <w:sz w:val="22"/>
          <w:szCs w:val="22"/>
          <w:lang w:val="en-US" w:eastAsia="en-US"/>
        </w:rPr>
        <w:t xml:space="preserve">, A., Michel, V., </w:t>
      </w:r>
      <w:proofErr w:type="spellStart"/>
      <w:r w:rsidRPr="00880E98">
        <w:rPr>
          <w:rFonts w:asciiTheme="minorHAnsi" w:eastAsiaTheme="minorHAnsi" w:hAnsiTheme="minorHAnsi" w:cstheme="minorHAnsi"/>
          <w:sz w:val="22"/>
          <w:szCs w:val="22"/>
          <w:lang w:val="en-US" w:eastAsia="en-US"/>
        </w:rPr>
        <w:t>Thirion</w:t>
      </w:r>
      <w:proofErr w:type="spellEnd"/>
      <w:r w:rsidRPr="00880E98">
        <w:rPr>
          <w:rFonts w:asciiTheme="minorHAnsi" w:eastAsiaTheme="minorHAnsi" w:hAnsiTheme="minorHAnsi" w:cstheme="minorHAnsi"/>
          <w:sz w:val="22"/>
          <w:szCs w:val="22"/>
          <w:lang w:val="en-US" w:eastAsia="en-US"/>
        </w:rPr>
        <w:t xml:space="preserve">, B., Grisel, O., ... &amp; </w:t>
      </w:r>
      <w:proofErr w:type="spellStart"/>
      <w:r w:rsidRPr="00880E98">
        <w:rPr>
          <w:rFonts w:asciiTheme="minorHAnsi" w:eastAsiaTheme="minorHAnsi" w:hAnsiTheme="minorHAnsi" w:cstheme="minorHAnsi"/>
          <w:sz w:val="22"/>
          <w:szCs w:val="22"/>
          <w:lang w:val="en-US" w:eastAsia="en-US"/>
        </w:rPr>
        <w:t>Duchesnay</w:t>
      </w:r>
      <w:proofErr w:type="spellEnd"/>
      <w:r w:rsidRPr="00880E98">
        <w:rPr>
          <w:rFonts w:asciiTheme="minorHAnsi" w:eastAsiaTheme="minorHAnsi" w:hAnsiTheme="minorHAnsi" w:cstheme="minorHAnsi"/>
          <w:sz w:val="22"/>
          <w:szCs w:val="22"/>
          <w:lang w:val="en-US" w:eastAsia="en-US"/>
        </w:rPr>
        <w:t>, E. (2011). Scikit-learn: Machine learning in Python. the Journal of machine Learning research, 12, 2825-2830.</w:t>
      </w:r>
    </w:p>
    <w:p w14:paraId="75C66920" w14:textId="77777777" w:rsidR="000C3DE8" w:rsidRDefault="000C3DE8">
      <w:pPr>
        <w:tabs>
          <w:tab w:val="left" w:pos="3300"/>
        </w:tabs>
      </w:pPr>
    </w:p>
    <w:p w14:paraId="57BBE36A" w14:textId="77777777" w:rsidR="000C3DE8" w:rsidRDefault="000C3DE8">
      <w:pPr>
        <w:tabs>
          <w:tab w:val="left" w:pos="3300"/>
        </w:tabs>
      </w:pPr>
    </w:p>
    <w:p w14:paraId="5E103DD6" w14:textId="77777777" w:rsidR="000C3DE8" w:rsidRDefault="000C3DE8">
      <w:pPr>
        <w:tabs>
          <w:tab w:val="left" w:pos="3300"/>
        </w:tabs>
      </w:pPr>
    </w:p>
    <w:p w14:paraId="30211CE6" w14:textId="77777777" w:rsidR="000C3DE8" w:rsidRDefault="000C3DE8">
      <w:pPr>
        <w:tabs>
          <w:tab w:val="left" w:pos="3300"/>
        </w:tabs>
        <w:rPr>
          <w:sz w:val="28"/>
          <w:szCs w:val="28"/>
        </w:rPr>
      </w:pPr>
    </w:p>
    <w:sectPr w:rsidR="000C3DE8">
      <w:pgSz w:w="11906" w:h="16838"/>
      <w:pgMar w:top="1417" w:right="1701" w:bottom="1417" w:left="1701"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utor desconhecido" w:date="2022-05-31T13:42:00Z" w:initials="">
    <w:p w14:paraId="3330374A" w14:textId="55882BD0" w:rsidR="000C3DE8" w:rsidRDefault="00503913">
      <w:proofErr w:type="spellStart"/>
      <w:r>
        <w:rPr>
          <w:sz w:val="20"/>
        </w:rPr>
        <w:t>olocaria</w:t>
      </w:r>
      <w:proofErr w:type="spellEnd"/>
      <w:r>
        <w:rPr>
          <w:sz w:val="20"/>
        </w:rPr>
        <w:t xml:space="preserve"> entre </w:t>
      </w:r>
      <w:proofErr w:type="spellStart"/>
      <w:r>
        <w:rPr>
          <w:sz w:val="20"/>
        </w:rPr>
        <w:t>parenteses</w:t>
      </w:r>
      <w:proofErr w:type="spellEnd"/>
    </w:p>
  </w:comment>
  <w:comment w:id="3" w:author="Autor desconhecido" w:date="2022-05-31T13:43:00Z" w:initials="">
    <w:p w14:paraId="4FAC6F83" w14:textId="77777777" w:rsidR="000C3DE8" w:rsidRDefault="00503913">
      <w:r>
        <w:rPr>
          <w:sz w:val="20"/>
        </w:rPr>
        <w:t>Foi vetorizado ...</w:t>
      </w:r>
    </w:p>
  </w:comment>
  <w:comment w:id="4" w:author="Autor desconhecido" w:date="2022-05-31T13:30:00Z" w:initials="">
    <w:p w14:paraId="57922FBC" w14:textId="77777777" w:rsidR="00446593" w:rsidRDefault="00446593" w:rsidP="00446593">
      <w:r>
        <w:rPr>
          <w:sz w:val="20"/>
        </w:rPr>
        <w:t>Isso é conclusão, não introdução, na introdução você apresenta o problema, as motivações e o objetivo.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30374A" w15:done="1"/>
  <w15:commentEx w15:paraId="4FAC6F83" w15:done="1"/>
  <w15:commentEx w15:paraId="57922F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30374A" w16cid:durableId="2641921F"/>
  <w16cid:commentId w16cid:paraId="4FAC6F83" w16cid:durableId="26419221"/>
  <w16cid:commentId w16cid:paraId="57922FBC" w16cid:durableId="2641B9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DE8"/>
    <w:rsid w:val="00000DE5"/>
    <w:rsid w:val="000356D1"/>
    <w:rsid w:val="00093F45"/>
    <w:rsid w:val="000C3DE8"/>
    <w:rsid w:val="000E1ED6"/>
    <w:rsid w:val="0016701A"/>
    <w:rsid w:val="00172861"/>
    <w:rsid w:val="001B16FA"/>
    <w:rsid w:val="001C415A"/>
    <w:rsid w:val="001E172F"/>
    <w:rsid w:val="002778B9"/>
    <w:rsid w:val="002B45FE"/>
    <w:rsid w:val="002E7F60"/>
    <w:rsid w:val="002F387C"/>
    <w:rsid w:val="00315815"/>
    <w:rsid w:val="003206B6"/>
    <w:rsid w:val="003E601D"/>
    <w:rsid w:val="003F5E77"/>
    <w:rsid w:val="00410A13"/>
    <w:rsid w:val="00427BB8"/>
    <w:rsid w:val="00446593"/>
    <w:rsid w:val="00446617"/>
    <w:rsid w:val="0045241B"/>
    <w:rsid w:val="00486F44"/>
    <w:rsid w:val="00503913"/>
    <w:rsid w:val="00587F5F"/>
    <w:rsid w:val="00621687"/>
    <w:rsid w:val="00653C67"/>
    <w:rsid w:val="006A3E15"/>
    <w:rsid w:val="006B726A"/>
    <w:rsid w:val="006D357C"/>
    <w:rsid w:val="007130DD"/>
    <w:rsid w:val="00762EC7"/>
    <w:rsid w:val="00765608"/>
    <w:rsid w:val="007C28D4"/>
    <w:rsid w:val="00863207"/>
    <w:rsid w:val="00880E98"/>
    <w:rsid w:val="00936634"/>
    <w:rsid w:val="009F6C95"/>
    <w:rsid w:val="00A3206B"/>
    <w:rsid w:val="00A654BB"/>
    <w:rsid w:val="00A967E3"/>
    <w:rsid w:val="00AC53D7"/>
    <w:rsid w:val="00AD4EDC"/>
    <w:rsid w:val="00B120CE"/>
    <w:rsid w:val="00B36A58"/>
    <w:rsid w:val="00BB3EAF"/>
    <w:rsid w:val="00BE5EEF"/>
    <w:rsid w:val="00C15A62"/>
    <w:rsid w:val="00C218D1"/>
    <w:rsid w:val="00C342CF"/>
    <w:rsid w:val="00C4346A"/>
    <w:rsid w:val="00C570F9"/>
    <w:rsid w:val="00C62A1B"/>
    <w:rsid w:val="00D074F3"/>
    <w:rsid w:val="00D90121"/>
    <w:rsid w:val="00ED749A"/>
    <w:rsid w:val="00F40FA5"/>
    <w:rsid w:val="00F522CF"/>
    <w:rsid w:val="00F87FD5"/>
    <w:rsid w:val="00FC32C5"/>
    <w:rsid w:val="00FD1348"/>
    <w:rsid w:val="00FD2077"/>
    <w:rsid w:val="00FD2895"/>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00EB1"/>
  <w15:docId w15:val="{DCDE916E-D214-4B38-A263-3EC28FD1F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basedOn w:val="Fontepargpadro"/>
    <w:uiPriority w:val="99"/>
    <w:unhideWhenUsed/>
    <w:rsid w:val="009A790F"/>
    <w:rPr>
      <w:color w:val="0563C1" w:themeColor="hyperlink"/>
      <w:u w:val="single"/>
    </w:rPr>
  </w:style>
  <w:style w:type="character" w:styleId="MenoPendente">
    <w:name w:val="Unresolved Mention"/>
    <w:basedOn w:val="Fontepargpadro"/>
    <w:uiPriority w:val="99"/>
    <w:semiHidden/>
    <w:unhideWhenUsed/>
    <w:qFormat/>
    <w:rsid w:val="009A790F"/>
    <w:rPr>
      <w:color w:val="605E5C"/>
      <w:shd w:val="clear" w:color="auto" w:fill="E1DFDD"/>
    </w:rPr>
  </w:style>
  <w:style w:type="character" w:customStyle="1" w:styleId="Pr-formataoHTMLChar">
    <w:name w:val="Pré-formatação HTML Char"/>
    <w:basedOn w:val="Fontepargpadro"/>
    <w:uiPriority w:val="99"/>
    <w:semiHidden/>
    <w:qFormat/>
    <w:rsid w:val="003B64AD"/>
    <w:rPr>
      <w:rFonts w:ascii="Consolas" w:hAnsi="Consolas"/>
      <w:sz w:val="20"/>
      <w:szCs w:val="20"/>
    </w:rPr>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pPr>
      <w:spacing w:after="140" w:line="276" w:lineRule="auto"/>
    </w:p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r-formataoHTML">
    <w:name w:val="HTML Preformatted"/>
    <w:basedOn w:val="Normal"/>
    <w:uiPriority w:val="99"/>
    <w:semiHidden/>
    <w:unhideWhenUsed/>
    <w:qFormat/>
    <w:rsid w:val="003B64AD"/>
    <w:pPr>
      <w:spacing w:after="0" w:line="240" w:lineRule="auto"/>
    </w:pPr>
    <w:rPr>
      <w:rFonts w:ascii="Consolas" w:hAnsi="Consolas"/>
      <w:sz w:val="20"/>
      <w:szCs w:val="20"/>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character" w:styleId="TextodoEspaoReservado">
    <w:name w:val="Placeholder Text"/>
    <w:basedOn w:val="Fontepargpadro"/>
    <w:uiPriority w:val="99"/>
    <w:semiHidden/>
    <w:rsid w:val="00D074F3"/>
    <w:rPr>
      <w:color w:val="808080"/>
    </w:rPr>
  </w:style>
  <w:style w:type="paragraph" w:styleId="NormalWeb">
    <w:name w:val="Normal (Web)"/>
    <w:basedOn w:val="Normal"/>
    <w:uiPriority w:val="99"/>
    <w:unhideWhenUsed/>
    <w:rsid w:val="00765608"/>
    <w:pPr>
      <w:suppressAutoHyphens w:val="0"/>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7656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123208">
      <w:bodyDiv w:val="1"/>
      <w:marLeft w:val="0"/>
      <w:marRight w:val="0"/>
      <w:marTop w:val="0"/>
      <w:marBottom w:val="0"/>
      <w:divBdr>
        <w:top w:val="none" w:sz="0" w:space="0" w:color="auto"/>
        <w:left w:val="none" w:sz="0" w:space="0" w:color="auto"/>
        <w:bottom w:val="none" w:sz="0" w:space="0" w:color="auto"/>
        <w:right w:val="none" w:sz="0" w:space="0" w:color="auto"/>
      </w:divBdr>
    </w:div>
    <w:div w:id="425348407">
      <w:bodyDiv w:val="1"/>
      <w:marLeft w:val="0"/>
      <w:marRight w:val="0"/>
      <w:marTop w:val="0"/>
      <w:marBottom w:val="0"/>
      <w:divBdr>
        <w:top w:val="none" w:sz="0" w:space="0" w:color="auto"/>
        <w:left w:val="none" w:sz="0" w:space="0" w:color="auto"/>
        <w:bottom w:val="none" w:sz="0" w:space="0" w:color="auto"/>
        <w:right w:val="none" w:sz="0" w:space="0" w:color="auto"/>
      </w:divBdr>
    </w:div>
    <w:div w:id="893203048">
      <w:bodyDiv w:val="1"/>
      <w:marLeft w:val="0"/>
      <w:marRight w:val="0"/>
      <w:marTop w:val="0"/>
      <w:marBottom w:val="0"/>
      <w:divBdr>
        <w:top w:val="none" w:sz="0" w:space="0" w:color="auto"/>
        <w:left w:val="none" w:sz="0" w:space="0" w:color="auto"/>
        <w:bottom w:val="none" w:sz="0" w:space="0" w:color="auto"/>
        <w:right w:val="none" w:sz="0" w:space="0" w:color="auto"/>
      </w:divBdr>
    </w:div>
    <w:div w:id="1079794346">
      <w:bodyDiv w:val="1"/>
      <w:marLeft w:val="0"/>
      <w:marRight w:val="0"/>
      <w:marTop w:val="0"/>
      <w:marBottom w:val="0"/>
      <w:divBdr>
        <w:top w:val="none" w:sz="0" w:space="0" w:color="auto"/>
        <w:left w:val="none" w:sz="0" w:space="0" w:color="auto"/>
        <w:bottom w:val="none" w:sz="0" w:space="0" w:color="auto"/>
        <w:right w:val="none" w:sz="0" w:space="0" w:color="auto"/>
      </w:divBdr>
    </w:div>
    <w:div w:id="1191575784">
      <w:bodyDiv w:val="1"/>
      <w:marLeft w:val="0"/>
      <w:marRight w:val="0"/>
      <w:marTop w:val="0"/>
      <w:marBottom w:val="0"/>
      <w:divBdr>
        <w:top w:val="none" w:sz="0" w:space="0" w:color="auto"/>
        <w:left w:val="none" w:sz="0" w:space="0" w:color="auto"/>
        <w:bottom w:val="none" w:sz="0" w:space="0" w:color="auto"/>
        <w:right w:val="none" w:sz="0" w:space="0" w:color="auto"/>
      </w:divBdr>
    </w:div>
    <w:div w:id="1246648798">
      <w:bodyDiv w:val="1"/>
      <w:marLeft w:val="0"/>
      <w:marRight w:val="0"/>
      <w:marTop w:val="0"/>
      <w:marBottom w:val="0"/>
      <w:divBdr>
        <w:top w:val="none" w:sz="0" w:space="0" w:color="auto"/>
        <w:left w:val="none" w:sz="0" w:space="0" w:color="auto"/>
        <w:bottom w:val="none" w:sz="0" w:space="0" w:color="auto"/>
        <w:right w:val="none" w:sz="0" w:space="0" w:color="auto"/>
      </w:divBdr>
    </w:div>
    <w:div w:id="1456830045">
      <w:bodyDiv w:val="1"/>
      <w:marLeft w:val="0"/>
      <w:marRight w:val="0"/>
      <w:marTop w:val="0"/>
      <w:marBottom w:val="0"/>
      <w:divBdr>
        <w:top w:val="none" w:sz="0" w:space="0" w:color="auto"/>
        <w:left w:val="none" w:sz="0" w:space="0" w:color="auto"/>
        <w:bottom w:val="none" w:sz="0" w:space="0" w:color="auto"/>
        <w:right w:val="none" w:sz="0" w:space="0" w:color="auto"/>
      </w:divBdr>
    </w:div>
    <w:div w:id="1937514352">
      <w:bodyDiv w:val="1"/>
      <w:marLeft w:val="0"/>
      <w:marRight w:val="0"/>
      <w:marTop w:val="0"/>
      <w:marBottom w:val="0"/>
      <w:divBdr>
        <w:top w:val="none" w:sz="0" w:space="0" w:color="auto"/>
        <w:left w:val="none" w:sz="0" w:space="0" w:color="auto"/>
        <w:bottom w:val="none" w:sz="0" w:space="0" w:color="auto"/>
        <w:right w:val="none" w:sz="0" w:space="0" w:color="auto"/>
      </w:divBdr>
    </w:div>
    <w:div w:id="19989978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openxmlformats.org/officeDocument/2006/relationships/fontTable" Target="fontTable.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pt-BR"/>
  <c:roundedCorners val="0"/>
  <c:style val="2"/>
  <c:chart>
    <c:title>
      <c:tx>
        <c:rich>
          <a:bodyPr rot="0"/>
          <a:lstStyle/>
          <a:p>
            <a:pPr>
              <a:defRPr lang="en-US" sz="1400" b="1" strike="noStrike" spc="-1">
                <a:solidFill>
                  <a:srgbClr val="000000"/>
                </a:solidFill>
                <a:latin typeface="Arial"/>
              </a:defRPr>
            </a:pPr>
            <a:r>
              <a:rPr lang="en-US" sz="1400" b="1" strike="noStrike" spc="-1">
                <a:solidFill>
                  <a:srgbClr val="000000"/>
                </a:solidFill>
                <a:latin typeface="Arial"/>
              </a:rPr>
              <a:t>ETH</a:t>
            </a:r>
          </a:p>
        </c:rich>
      </c:tx>
      <c:overlay val="0"/>
      <c:spPr>
        <a:noFill/>
        <a:ln>
          <a:noFill/>
        </a:ln>
      </c:spPr>
    </c:title>
    <c:autoTitleDeleted val="0"/>
    <c:plotArea>
      <c:layout/>
      <c:barChart>
        <c:barDir val="col"/>
        <c:grouping val="clustered"/>
        <c:varyColors val="0"/>
        <c:ser>
          <c:idx val="0"/>
          <c:order val="0"/>
          <c:tx>
            <c:strRef>
              <c:f>label 0</c:f>
              <c:strCache>
                <c:ptCount val="1"/>
                <c:pt idx="0">
                  <c:v>Bagging Regressor</c:v>
                </c:pt>
              </c:strCache>
            </c:strRef>
          </c:tx>
          <c:spPr>
            <a:solidFill>
              <a:srgbClr val="4472C4"/>
            </a:solidFill>
            <a:ln>
              <a:noFill/>
            </a:ln>
          </c:spPr>
          <c:invertIfNegative val="0"/>
          <c:dLbls>
            <c:numFmt formatCode="General" sourceLinked="0"/>
            <c:spPr>
              <a:noFill/>
              <a:ln>
                <a:noFill/>
              </a:ln>
              <a:effectLst/>
            </c:spPr>
            <c:txPr>
              <a:bodyPr rot="-5400000"/>
              <a:lstStyle/>
              <a:p>
                <a:pPr>
                  <a:defRPr sz="900" b="0" strike="noStrike" spc="-1">
                    <a:solidFill>
                      <a:srgbClr val="404040"/>
                    </a:solidFill>
                    <a:latin typeface="Calibri"/>
                  </a:defRPr>
                </a:pPr>
                <a:endParaRPr lang="pt-BR"/>
              </a:p>
            </c:txPr>
            <c:dLblPos val="outEnd"/>
            <c:showLegendKey val="0"/>
            <c:showVal val="1"/>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3"/>
                <c:pt idx="0">
                  <c:v>EMA</c:v>
                </c:pt>
                <c:pt idx="1">
                  <c:v>EMQ</c:v>
                </c:pt>
                <c:pt idx="2">
                  <c:v>R²</c:v>
                </c:pt>
              </c:strCache>
            </c:strRef>
          </c:cat>
          <c:val>
            <c:numRef>
              <c:f>0</c:f>
              <c:numCache>
                <c:formatCode>General</c:formatCode>
                <c:ptCount val="3"/>
                <c:pt idx="0">
                  <c:v>0.13</c:v>
                </c:pt>
                <c:pt idx="1">
                  <c:v>4.9000000000000002E-2</c:v>
                </c:pt>
                <c:pt idx="2">
                  <c:v>0.752</c:v>
                </c:pt>
              </c:numCache>
            </c:numRef>
          </c:val>
          <c:extLst>
            <c:ext xmlns:c16="http://schemas.microsoft.com/office/drawing/2014/chart" uri="{C3380CC4-5D6E-409C-BE32-E72D297353CC}">
              <c16:uniqueId val="{00000000-1C61-4ED8-96FC-8FD5503C5B2F}"/>
            </c:ext>
          </c:extLst>
        </c:ser>
        <c:ser>
          <c:idx val="1"/>
          <c:order val="1"/>
          <c:tx>
            <c:strRef>
              <c:f>label 1</c:f>
              <c:strCache>
                <c:ptCount val="1"/>
                <c:pt idx="0">
                  <c:v>Random Forest Regressor</c:v>
                </c:pt>
              </c:strCache>
            </c:strRef>
          </c:tx>
          <c:spPr>
            <a:solidFill>
              <a:srgbClr val="ED7D31"/>
            </a:solidFill>
            <a:ln>
              <a:noFill/>
            </a:ln>
          </c:spPr>
          <c:invertIfNegative val="0"/>
          <c:dLbls>
            <c:numFmt formatCode="General" sourceLinked="0"/>
            <c:spPr>
              <a:noFill/>
              <a:ln>
                <a:noFill/>
              </a:ln>
              <a:effectLst/>
            </c:spPr>
            <c:txPr>
              <a:bodyPr rot="-5400000"/>
              <a:lstStyle/>
              <a:p>
                <a:pPr>
                  <a:defRPr sz="900" b="0" strike="noStrike" spc="-1">
                    <a:solidFill>
                      <a:srgbClr val="404040"/>
                    </a:solidFill>
                    <a:latin typeface="Calibri"/>
                  </a:defRPr>
                </a:pPr>
                <a:endParaRPr lang="pt-BR"/>
              </a:p>
            </c:txPr>
            <c:dLblPos val="outEnd"/>
            <c:showLegendKey val="0"/>
            <c:showVal val="1"/>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3"/>
                <c:pt idx="0">
                  <c:v>EMA</c:v>
                </c:pt>
                <c:pt idx="1">
                  <c:v>EMQ</c:v>
                </c:pt>
                <c:pt idx="2">
                  <c:v>R²</c:v>
                </c:pt>
              </c:strCache>
            </c:strRef>
          </c:cat>
          <c:val>
            <c:numRef>
              <c:f>1</c:f>
              <c:numCache>
                <c:formatCode>General</c:formatCode>
                <c:ptCount val="3"/>
                <c:pt idx="0">
                  <c:v>0.124</c:v>
                </c:pt>
                <c:pt idx="1">
                  <c:v>4.4999999999999998E-2</c:v>
                </c:pt>
                <c:pt idx="2">
                  <c:v>0.77300000000000002</c:v>
                </c:pt>
              </c:numCache>
            </c:numRef>
          </c:val>
          <c:extLst>
            <c:ext xmlns:c16="http://schemas.microsoft.com/office/drawing/2014/chart" uri="{C3380CC4-5D6E-409C-BE32-E72D297353CC}">
              <c16:uniqueId val="{00000001-1C61-4ED8-96FC-8FD5503C5B2F}"/>
            </c:ext>
          </c:extLst>
        </c:ser>
        <c:ser>
          <c:idx val="2"/>
          <c:order val="2"/>
          <c:tx>
            <c:strRef>
              <c:f>label 2</c:f>
              <c:strCache>
                <c:ptCount val="1"/>
                <c:pt idx="0">
                  <c:v>Gradient Boosting Regressor</c:v>
                </c:pt>
              </c:strCache>
            </c:strRef>
          </c:tx>
          <c:spPr>
            <a:solidFill>
              <a:srgbClr val="A5A5A5"/>
            </a:solidFill>
            <a:ln>
              <a:noFill/>
            </a:ln>
          </c:spPr>
          <c:invertIfNegative val="0"/>
          <c:dLbls>
            <c:numFmt formatCode="General" sourceLinked="0"/>
            <c:spPr>
              <a:noFill/>
              <a:ln>
                <a:noFill/>
              </a:ln>
              <a:effectLst/>
            </c:spPr>
            <c:txPr>
              <a:bodyPr rot="-5400000"/>
              <a:lstStyle/>
              <a:p>
                <a:pPr>
                  <a:defRPr sz="900" b="0" strike="noStrike" spc="-1">
                    <a:solidFill>
                      <a:srgbClr val="404040"/>
                    </a:solidFill>
                    <a:latin typeface="Calibri"/>
                  </a:defRPr>
                </a:pPr>
                <a:endParaRPr lang="pt-BR"/>
              </a:p>
            </c:txPr>
            <c:dLblPos val="outEnd"/>
            <c:showLegendKey val="0"/>
            <c:showVal val="1"/>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3"/>
                <c:pt idx="0">
                  <c:v>EMA</c:v>
                </c:pt>
                <c:pt idx="1">
                  <c:v>EMQ</c:v>
                </c:pt>
                <c:pt idx="2">
                  <c:v>R²</c:v>
                </c:pt>
              </c:strCache>
            </c:strRef>
          </c:cat>
          <c:val>
            <c:numRef>
              <c:f>2</c:f>
              <c:numCache>
                <c:formatCode>General</c:formatCode>
                <c:ptCount val="3"/>
                <c:pt idx="0">
                  <c:v>0.15</c:v>
                </c:pt>
                <c:pt idx="1">
                  <c:v>5.6000000000000001E-2</c:v>
                </c:pt>
                <c:pt idx="2">
                  <c:v>0.71499999999999997</c:v>
                </c:pt>
              </c:numCache>
            </c:numRef>
          </c:val>
          <c:extLst>
            <c:ext xmlns:c16="http://schemas.microsoft.com/office/drawing/2014/chart" uri="{C3380CC4-5D6E-409C-BE32-E72D297353CC}">
              <c16:uniqueId val="{00000002-1C61-4ED8-96FC-8FD5503C5B2F}"/>
            </c:ext>
          </c:extLst>
        </c:ser>
        <c:ser>
          <c:idx val="3"/>
          <c:order val="3"/>
          <c:tx>
            <c:strRef>
              <c:f>label 3</c:f>
              <c:strCache>
                <c:ptCount val="1"/>
                <c:pt idx="0">
                  <c:v>Decision Tree Regressor</c:v>
                </c:pt>
              </c:strCache>
            </c:strRef>
          </c:tx>
          <c:spPr>
            <a:solidFill>
              <a:srgbClr val="FFC000"/>
            </a:solidFill>
            <a:ln>
              <a:noFill/>
            </a:ln>
          </c:spPr>
          <c:invertIfNegative val="0"/>
          <c:dLbls>
            <c:numFmt formatCode="General" sourceLinked="0"/>
            <c:spPr>
              <a:noFill/>
              <a:ln>
                <a:noFill/>
              </a:ln>
              <a:effectLst/>
            </c:spPr>
            <c:txPr>
              <a:bodyPr rot="-5400000"/>
              <a:lstStyle/>
              <a:p>
                <a:pPr>
                  <a:defRPr sz="900" b="0" strike="noStrike" spc="-1">
                    <a:solidFill>
                      <a:srgbClr val="404040"/>
                    </a:solidFill>
                    <a:latin typeface="Calibri"/>
                  </a:defRPr>
                </a:pPr>
                <a:endParaRPr lang="pt-BR"/>
              </a:p>
            </c:txPr>
            <c:dLblPos val="outEnd"/>
            <c:showLegendKey val="0"/>
            <c:showVal val="1"/>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3"/>
                <c:pt idx="0">
                  <c:v>EMA</c:v>
                </c:pt>
                <c:pt idx="1">
                  <c:v>EMQ</c:v>
                </c:pt>
                <c:pt idx="2">
                  <c:v>R²</c:v>
                </c:pt>
              </c:strCache>
            </c:strRef>
          </c:cat>
          <c:val>
            <c:numRef>
              <c:f>3</c:f>
              <c:numCache>
                <c:formatCode>General</c:formatCode>
                <c:ptCount val="3"/>
                <c:pt idx="0">
                  <c:v>0.14699999999999999</c:v>
                </c:pt>
                <c:pt idx="1">
                  <c:v>7.3999999999999996E-2</c:v>
                </c:pt>
                <c:pt idx="2">
                  <c:v>0.624</c:v>
                </c:pt>
              </c:numCache>
            </c:numRef>
          </c:val>
          <c:extLst>
            <c:ext xmlns:c16="http://schemas.microsoft.com/office/drawing/2014/chart" uri="{C3380CC4-5D6E-409C-BE32-E72D297353CC}">
              <c16:uniqueId val="{00000003-1C61-4ED8-96FC-8FD5503C5B2F}"/>
            </c:ext>
          </c:extLst>
        </c:ser>
        <c:dLbls>
          <c:showLegendKey val="0"/>
          <c:showVal val="0"/>
          <c:showCatName val="0"/>
          <c:showSerName val="0"/>
          <c:showPercent val="0"/>
          <c:showBubbleSize val="0"/>
        </c:dLbls>
        <c:gapWidth val="400"/>
        <c:axId val="83310961"/>
        <c:axId val="85107750"/>
      </c:barChart>
      <c:catAx>
        <c:axId val="83310961"/>
        <c:scaling>
          <c:orientation val="minMax"/>
        </c:scaling>
        <c:delete val="0"/>
        <c:axPos val="b"/>
        <c:numFmt formatCode="General" sourceLinked="1"/>
        <c:majorTickMark val="none"/>
        <c:minorTickMark val="none"/>
        <c:tickLblPos val="nextTo"/>
        <c:spPr>
          <a:ln w="9360">
            <a:solidFill>
              <a:srgbClr val="000000"/>
            </a:solidFill>
            <a:round/>
          </a:ln>
        </c:spPr>
        <c:txPr>
          <a:bodyPr/>
          <a:lstStyle/>
          <a:p>
            <a:pPr>
              <a:defRPr sz="900" b="0" strike="noStrike" spc="-1">
                <a:solidFill>
                  <a:srgbClr val="000000"/>
                </a:solidFill>
                <a:latin typeface="Calibri"/>
              </a:defRPr>
            </a:pPr>
            <a:endParaRPr lang="pt-BR"/>
          </a:p>
        </c:txPr>
        <c:crossAx val="85107750"/>
        <c:crosses val="autoZero"/>
        <c:auto val="1"/>
        <c:lblAlgn val="ctr"/>
        <c:lblOffset val="100"/>
        <c:noMultiLvlLbl val="0"/>
      </c:catAx>
      <c:valAx>
        <c:axId val="85107750"/>
        <c:scaling>
          <c:orientation val="minMax"/>
          <c:max val="1"/>
        </c:scaling>
        <c:delete val="0"/>
        <c:axPos val="l"/>
        <c:majorGridlines>
          <c:spPr>
            <a:ln w="9360">
              <a:solidFill>
                <a:srgbClr val="000000">
                  <a:alpha val="16000"/>
                </a:srgbClr>
              </a:solidFill>
              <a:round/>
            </a:ln>
          </c:spPr>
        </c:majorGridlines>
        <c:numFmt formatCode="General" sourceLinked="0"/>
        <c:majorTickMark val="none"/>
        <c:minorTickMark val="none"/>
        <c:tickLblPos val="nextTo"/>
        <c:spPr>
          <a:ln w="6480">
            <a:solidFill>
              <a:srgbClr val="000000"/>
            </a:solidFill>
            <a:round/>
          </a:ln>
        </c:spPr>
        <c:txPr>
          <a:bodyPr/>
          <a:lstStyle/>
          <a:p>
            <a:pPr>
              <a:defRPr sz="900" b="0" strike="noStrike" spc="-1">
                <a:solidFill>
                  <a:srgbClr val="000000"/>
                </a:solidFill>
                <a:latin typeface="Calibri"/>
              </a:defRPr>
            </a:pPr>
            <a:endParaRPr lang="pt-BR"/>
          </a:p>
        </c:txPr>
        <c:crossAx val="83310961"/>
        <c:crosses val="autoZero"/>
        <c:crossBetween val="between"/>
      </c:valAx>
      <c:spPr>
        <a:noFill/>
        <a:ln>
          <a:noFill/>
        </a:ln>
      </c:spPr>
    </c:plotArea>
    <c:legend>
      <c:legendPos val="b"/>
      <c:layout>
        <c:manualLayout>
          <c:xMode val="edge"/>
          <c:yMode val="edge"/>
          <c:x val="7.1051954862893688E-2"/>
          <c:y val="0.83433333333333304"/>
          <c:w val="0.90466422295363624"/>
          <c:h val="0.139571063451495"/>
        </c:manualLayout>
      </c:layout>
      <c:overlay val="0"/>
      <c:spPr>
        <a:solidFill>
          <a:srgbClr val="FFFFFF"/>
        </a:solidFill>
        <a:ln>
          <a:noFill/>
        </a:ln>
      </c:spPr>
      <c:txPr>
        <a:bodyPr/>
        <a:lstStyle/>
        <a:p>
          <a:pPr>
            <a:defRPr sz="900" b="0" strike="noStrike" spc="-1">
              <a:solidFill>
                <a:srgbClr val="000000"/>
              </a:solidFill>
              <a:latin typeface="Calibri"/>
            </a:defRPr>
          </a:pPr>
          <a:endParaRPr lang="pt-BR"/>
        </a:p>
      </c:txPr>
    </c:legend>
    <c:plotVisOnly val="1"/>
    <c:dispBlanksAs val="gap"/>
    <c:showDLblsOverMax val="1"/>
  </c:chart>
  <c:spPr>
    <a:solidFill>
      <a:srgbClr val="FFFFFF"/>
    </a:solidFill>
    <a:ln w="9360">
      <a:noFill/>
    </a:ln>
  </c:spPr>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pt-BR"/>
  <c:roundedCorners val="0"/>
  <c:style val="2"/>
  <c:chart>
    <c:title>
      <c:tx>
        <c:rich>
          <a:bodyPr rot="0"/>
          <a:lstStyle/>
          <a:p>
            <a:pPr>
              <a:defRPr lang="en-US" sz="1400" b="1" strike="noStrike" spc="-1">
                <a:solidFill>
                  <a:srgbClr val="000000"/>
                </a:solidFill>
                <a:latin typeface="Arial"/>
              </a:defRPr>
            </a:pPr>
            <a:r>
              <a:rPr lang="en-US" sz="1400" b="1" strike="noStrike" spc="-1">
                <a:solidFill>
                  <a:srgbClr val="000000"/>
                </a:solidFill>
                <a:latin typeface="Arial"/>
              </a:rPr>
              <a:t>GODS</a:t>
            </a:r>
          </a:p>
        </c:rich>
      </c:tx>
      <c:overlay val="0"/>
      <c:spPr>
        <a:noFill/>
        <a:ln>
          <a:noFill/>
        </a:ln>
      </c:spPr>
    </c:title>
    <c:autoTitleDeleted val="0"/>
    <c:plotArea>
      <c:layout/>
      <c:barChart>
        <c:barDir val="col"/>
        <c:grouping val="clustered"/>
        <c:varyColors val="0"/>
        <c:ser>
          <c:idx val="0"/>
          <c:order val="0"/>
          <c:tx>
            <c:strRef>
              <c:f>label 0</c:f>
              <c:strCache>
                <c:ptCount val="1"/>
                <c:pt idx="0">
                  <c:v>Bagging Regressor</c:v>
                </c:pt>
              </c:strCache>
            </c:strRef>
          </c:tx>
          <c:spPr>
            <a:solidFill>
              <a:srgbClr val="4472C4"/>
            </a:solidFill>
            <a:ln>
              <a:noFill/>
            </a:ln>
          </c:spPr>
          <c:invertIfNegative val="0"/>
          <c:dLbls>
            <c:numFmt formatCode="General" sourceLinked="0"/>
            <c:spPr>
              <a:noFill/>
              <a:ln>
                <a:noFill/>
              </a:ln>
              <a:effectLst/>
            </c:spPr>
            <c:txPr>
              <a:bodyPr rot="-5400000"/>
              <a:lstStyle/>
              <a:p>
                <a:pPr>
                  <a:defRPr sz="900" b="0" strike="noStrike" spc="-1">
                    <a:solidFill>
                      <a:srgbClr val="404040"/>
                    </a:solidFill>
                    <a:latin typeface="Calibri"/>
                  </a:defRPr>
                </a:pPr>
                <a:endParaRPr lang="pt-BR"/>
              </a:p>
            </c:txPr>
            <c:dLblPos val="outEnd"/>
            <c:showLegendKey val="0"/>
            <c:showVal val="1"/>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3"/>
                <c:pt idx="0">
                  <c:v>EMA</c:v>
                </c:pt>
                <c:pt idx="1">
                  <c:v>EMQ</c:v>
                </c:pt>
                <c:pt idx="2">
                  <c:v>R²</c:v>
                </c:pt>
              </c:strCache>
            </c:strRef>
          </c:cat>
          <c:val>
            <c:numRef>
              <c:f>0</c:f>
              <c:numCache>
                <c:formatCode>General</c:formatCode>
                <c:ptCount val="3"/>
                <c:pt idx="0">
                  <c:v>0.13200000000000001</c:v>
                </c:pt>
                <c:pt idx="1">
                  <c:v>4.9000000000000002E-2</c:v>
                </c:pt>
                <c:pt idx="2">
                  <c:v>0.753</c:v>
                </c:pt>
              </c:numCache>
            </c:numRef>
          </c:val>
          <c:extLst>
            <c:ext xmlns:c16="http://schemas.microsoft.com/office/drawing/2014/chart" uri="{C3380CC4-5D6E-409C-BE32-E72D297353CC}">
              <c16:uniqueId val="{00000000-7B42-42F7-BAB8-EF7928BF7CE3}"/>
            </c:ext>
          </c:extLst>
        </c:ser>
        <c:ser>
          <c:idx val="1"/>
          <c:order val="1"/>
          <c:tx>
            <c:strRef>
              <c:f>label 1</c:f>
              <c:strCache>
                <c:ptCount val="1"/>
                <c:pt idx="0">
                  <c:v>Random Forest Regressor</c:v>
                </c:pt>
              </c:strCache>
            </c:strRef>
          </c:tx>
          <c:spPr>
            <a:solidFill>
              <a:srgbClr val="ED7D31"/>
            </a:solidFill>
            <a:ln>
              <a:noFill/>
            </a:ln>
          </c:spPr>
          <c:invertIfNegative val="0"/>
          <c:dLbls>
            <c:numFmt formatCode="General" sourceLinked="0"/>
            <c:spPr>
              <a:noFill/>
              <a:ln>
                <a:noFill/>
              </a:ln>
              <a:effectLst/>
            </c:spPr>
            <c:txPr>
              <a:bodyPr rot="-5400000"/>
              <a:lstStyle/>
              <a:p>
                <a:pPr>
                  <a:defRPr sz="900" b="0" strike="noStrike" spc="-1">
                    <a:solidFill>
                      <a:srgbClr val="404040"/>
                    </a:solidFill>
                    <a:latin typeface="Calibri"/>
                  </a:defRPr>
                </a:pPr>
                <a:endParaRPr lang="pt-BR"/>
              </a:p>
            </c:txPr>
            <c:dLblPos val="outEnd"/>
            <c:showLegendKey val="0"/>
            <c:showVal val="1"/>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3"/>
                <c:pt idx="0">
                  <c:v>EMA</c:v>
                </c:pt>
                <c:pt idx="1">
                  <c:v>EMQ</c:v>
                </c:pt>
                <c:pt idx="2">
                  <c:v>R²</c:v>
                </c:pt>
              </c:strCache>
            </c:strRef>
          </c:cat>
          <c:val>
            <c:numRef>
              <c:f>1</c:f>
              <c:numCache>
                <c:formatCode>General</c:formatCode>
                <c:ptCount val="3"/>
                <c:pt idx="0">
                  <c:v>0.125</c:v>
                </c:pt>
                <c:pt idx="1">
                  <c:v>4.3999999999999997E-2</c:v>
                </c:pt>
                <c:pt idx="2">
                  <c:v>0.77800000000000002</c:v>
                </c:pt>
              </c:numCache>
            </c:numRef>
          </c:val>
          <c:extLst>
            <c:ext xmlns:c16="http://schemas.microsoft.com/office/drawing/2014/chart" uri="{C3380CC4-5D6E-409C-BE32-E72D297353CC}">
              <c16:uniqueId val="{00000001-7B42-42F7-BAB8-EF7928BF7CE3}"/>
            </c:ext>
          </c:extLst>
        </c:ser>
        <c:ser>
          <c:idx val="2"/>
          <c:order val="2"/>
          <c:tx>
            <c:strRef>
              <c:f>label 2</c:f>
              <c:strCache>
                <c:ptCount val="1"/>
                <c:pt idx="0">
                  <c:v>Gradient Boosting Regressor</c:v>
                </c:pt>
              </c:strCache>
            </c:strRef>
          </c:tx>
          <c:spPr>
            <a:solidFill>
              <a:srgbClr val="A5A5A5"/>
            </a:solidFill>
            <a:ln>
              <a:noFill/>
            </a:ln>
          </c:spPr>
          <c:invertIfNegative val="0"/>
          <c:dLbls>
            <c:numFmt formatCode="General" sourceLinked="0"/>
            <c:spPr>
              <a:noFill/>
              <a:ln>
                <a:noFill/>
              </a:ln>
              <a:effectLst/>
            </c:spPr>
            <c:txPr>
              <a:bodyPr rot="-5400000"/>
              <a:lstStyle/>
              <a:p>
                <a:pPr>
                  <a:defRPr sz="900" b="0" strike="noStrike" spc="-1">
                    <a:solidFill>
                      <a:srgbClr val="404040"/>
                    </a:solidFill>
                    <a:latin typeface="Calibri"/>
                  </a:defRPr>
                </a:pPr>
                <a:endParaRPr lang="pt-BR"/>
              </a:p>
            </c:txPr>
            <c:dLblPos val="outEnd"/>
            <c:showLegendKey val="0"/>
            <c:showVal val="1"/>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3"/>
                <c:pt idx="0">
                  <c:v>EMA</c:v>
                </c:pt>
                <c:pt idx="1">
                  <c:v>EMQ</c:v>
                </c:pt>
                <c:pt idx="2">
                  <c:v>R²</c:v>
                </c:pt>
              </c:strCache>
            </c:strRef>
          </c:cat>
          <c:val>
            <c:numRef>
              <c:f>2</c:f>
              <c:numCache>
                <c:formatCode>General</c:formatCode>
                <c:ptCount val="3"/>
                <c:pt idx="0">
                  <c:v>0.152</c:v>
                </c:pt>
                <c:pt idx="1">
                  <c:v>5.7000000000000002E-2</c:v>
                </c:pt>
                <c:pt idx="2">
                  <c:v>0.71199999999999997</c:v>
                </c:pt>
              </c:numCache>
            </c:numRef>
          </c:val>
          <c:extLst>
            <c:ext xmlns:c16="http://schemas.microsoft.com/office/drawing/2014/chart" uri="{C3380CC4-5D6E-409C-BE32-E72D297353CC}">
              <c16:uniqueId val="{00000002-7B42-42F7-BAB8-EF7928BF7CE3}"/>
            </c:ext>
          </c:extLst>
        </c:ser>
        <c:ser>
          <c:idx val="3"/>
          <c:order val="3"/>
          <c:tx>
            <c:strRef>
              <c:f>label 3</c:f>
              <c:strCache>
                <c:ptCount val="1"/>
                <c:pt idx="0">
                  <c:v>Decision Tree Regressor</c:v>
                </c:pt>
              </c:strCache>
            </c:strRef>
          </c:tx>
          <c:spPr>
            <a:solidFill>
              <a:srgbClr val="FFC000"/>
            </a:solidFill>
            <a:ln>
              <a:noFill/>
            </a:ln>
          </c:spPr>
          <c:invertIfNegative val="0"/>
          <c:dLbls>
            <c:numFmt formatCode="General" sourceLinked="0"/>
            <c:spPr>
              <a:noFill/>
              <a:ln>
                <a:noFill/>
              </a:ln>
              <a:effectLst/>
            </c:spPr>
            <c:txPr>
              <a:bodyPr rot="-5400000"/>
              <a:lstStyle/>
              <a:p>
                <a:pPr>
                  <a:defRPr sz="900" b="0" strike="noStrike" spc="-1">
                    <a:solidFill>
                      <a:srgbClr val="404040"/>
                    </a:solidFill>
                    <a:latin typeface="Calibri"/>
                  </a:defRPr>
                </a:pPr>
                <a:endParaRPr lang="pt-BR"/>
              </a:p>
            </c:txPr>
            <c:dLblPos val="outEnd"/>
            <c:showLegendKey val="0"/>
            <c:showVal val="1"/>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3"/>
                <c:pt idx="0">
                  <c:v>EMA</c:v>
                </c:pt>
                <c:pt idx="1">
                  <c:v>EMQ</c:v>
                </c:pt>
                <c:pt idx="2">
                  <c:v>R²</c:v>
                </c:pt>
              </c:strCache>
            </c:strRef>
          </c:cat>
          <c:val>
            <c:numRef>
              <c:f>3</c:f>
              <c:numCache>
                <c:formatCode>General</c:formatCode>
                <c:ptCount val="3"/>
                <c:pt idx="0">
                  <c:v>0.14799999999999999</c:v>
                </c:pt>
                <c:pt idx="1">
                  <c:v>7.2999999999999995E-2</c:v>
                </c:pt>
                <c:pt idx="2">
                  <c:v>0.627</c:v>
                </c:pt>
              </c:numCache>
            </c:numRef>
          </c:val>
          <c:extLst>
            <c:ext xmlns:c16="http://schemas.microsoft.com/office/drawing/2014/chart" uri="{C3380CC4-5D6E-409C-BE32-E72D297353CC}">
              <c16:uniqueId val="{00000003-7B42-42F7-BAB8-EF7928BF7CE3}"/>
            </c:ext>
          </c:extLst>
        </c:ser>
        <c:dLbls>
          <c:showLegendKey val="0"/>
          <c:showVal val="0"/>
          <c:showCatName val="0"/>
          <c:showSerName val="0"/>
          <c:showPercent val="0"/>
          <c:showBubbleSize val="0"/>
        </c:dLbls>
        <c:gapWidth val="400"/>
        <c:axId val="20187469"/>
        <c:axId val="14657932"/>
      </c:barChart>
      <c:catAx>
        <c:axId val="20187469"/>
        <c:scaling>
          <c:orientation val="minMax"/>
        </c:scaling>
        <c:delete val="0"/>
        <c:axPos val="b"/>
        <c:numFmt formatCode="General" sourceLinked="1"/>
        <c:majorTickMark val="none"/>
        <c:minorTickMark val="none"/>
        <c:tickLblPos val="nextTo"/>
        <c:spPr>
          <a:ln w="9360">
            <a:solidFill>
              <a:srgbClr val="000000"/>
            </a:solidFill>
            <a:round/>
          </a:ln>
        </c:spPr>
        <c:txPr>
          <a:bodyPr/>
          <a:lstStyle/>
          <a:p>
            <a:pPr>
              <a:defRPr sz="900" b="0" strike="noStrike" spc="-1">
                <a:solidFill>
                  <a:srgbClr val="000000"/>
                </a:solidFill>
                <a:latin typeface="Calibri"/>
              </a:defRPr>
            </a:pPr>
            <a:endParaRPr lang="pt-BR"/>
          </a:p>
        </c:txPr>
        <c:crossAx val="14657932"/>
        <c:crosses val="autoZero"/>
        <c:auto val="1"/>
        <c:lblAlgn val="ctr"/>
        <c:lblOffset val="100"/>
        <c:noMultiLvlLbl val="0"/>
      </c:catAx>
      <c:valAx>
        <c:axId val="14657932"/>
        <c:scaling>
          <c:orientation val="minMax"/>
          <c:max val="1"/>
        </c:scaling>
        <c:delete val="0"/>
        <c:axPos val="l"/>
        <c:majorGridlines>
          <c:spPr>
            <a:ln w="9360">
              <a:solidFill>
                <a:srgbClr val="000000">
                  <a:alpha val="16000"/>
                </a:srgbClr>
              </a:solidFill>
              <a:round/>
            </a:ln>
          </c:spPr>
        </c:majorGridlines>
        <c:numFmt formatCode="General" sourceLinked="0"/>
        <c:majorTickMark val="none"/>
        <c:minorTickMark val="none"/>
        <c:tickLblPos val="nextTo"/>
        <c:spPr>
          <a:ln w="6480">
            <a:solidFill>
              <a:srgbClr val="000000"/>
            </a:solidFill>
            <a:round/>
          </a:ln>
        </c:spPr>
        <c:txPr>
          <a:bodyPr/>
          <a:lstStyle/>
          <a:p>
            <a:pPr>
              <a:defRPr sz="900" b="0" strike="noStrike" spc="-1">
                <a:solidFill>
                  <a:srgbClr val="000000"/>
                </a:solidFill>
                <a:latin typeface="Calibri"/>
              </a:defRPr>
            </a:pPr>
            <a:endParaRPr lang="pt-BR"/>
          </a:p>
        </c:txPr>
        <c:crossAx val="20187469"/>
        <c:crosses val="autoZero"/>
        <c:crossBetween val="between"/>
      </c:valAx>
      <c:spPr>
        <a:noFill/>
        <a:ln>
          <a:noFill/>
        </a:ln>
      </c:spPr>
    </c:plotArea>
    <c:legend>
      <c:legendPos val="b"/>
      <c:layout>
        <c:manualLayout>
          <c:xMode val="edge"/>
          <c:yMode val="edge"/>
          <c:x val="5.9687499999999998E-2"/>
          <c:y val="0.83199999999999996"/>
          <c:w val="0.91349459341208805"/>
          <c:h val="0.14157128569841099"/>
        </c:manualLayout>
      </c:layout>
      <c:overlay val="0"/>
      <c:spPr>
        <a:noFill/>
        <a:ln>
          <a:noFill/>
        </a:ln>
      </c:spPr>
      <c:txPr>
        <a:bodyPr/>
        <a:lstStyle/>
        <a:p>
          <a:pPr>
            <a:defRPr sz="900" b="0" strike="noStrike" spc="-1">
              <a:solidFill>
                <a:srgbClr val="000000"/>
              </a:solidFill>
              <a:latin typeface="Calibri"/>
            </a:defRPr>
          </a:pPr>
          <a:endParaRPr lang="pt-BR"/>
        </a:p>
      </c:txPr>
    </c:legend>
    <c:plotVisOnly val="1"/>
    <c:dispBlanksAs val="gap"/>
    <c:showDLblsOverMax val="1"/>
  </c:chart>
  <c:spPr>
    <a:solidFill>
      <a:srgbClr val="FFFFFF"/>
    </a:solidFill>
    <a:ln w="9360">
      <a:noFill/>
    </a:ln>
  </c:spPr>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5445</TotalTime>
  <Pages>7</Pages>
  <Words>2018</Words>
  <Characters>10898</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miranda</dc:creator>
  <dc:description/>
  <cp:lastModifiedBy>isaac miranda</cp:lastModifiedBy>
  <cp:revision>28</cp:revision>
  <dcterms:created xsi:type="dcterms:W3CDTF">2022-05-16T23:44:00Z</dcterms:created>
  <dcterms:modified xsi:type="dcterms:W3CDTF">2022-06-08T16:46:00Z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