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Результаты вычислений количественных показателей рисков нарушения надежности, требований и интегрального риска</w:t>
        <w:br/>
      </w:r>
    </w:p>
    <w:p>
      <w:r>
        <w:t>Расчет количественных показателей оценки рисков процесса управления решениями показал, что за весь указанный период риск нарушения надежности составляет 0.5156. Результаты расчетов риска для каждого из элементов:</w:t>
        <w:br/>
      </w:r>
    </w:p>
    <w:p>
      <w:r>
        <w:t>1 элемент - 0.5156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Расчет количественных показателей оценки рисков процесса управления решениями показал, что за весь указанный период риск нарушения требований составляет 0.5862. Результаты расчетов риска для каждого из элементов:</w:t>
        <w:br/>
      </w:r>
    </w:p>
    <w:p>
      <w:r>
        <w:t>1 элемент - 0.5862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Интегральный риск: </w:t>
        <w:br/>
        <w:br/>
        <w:t xml:space="preserve"> R(интегр) = 1 - (1 - R(надежн)) * (1 - R(наруш)) = 0.7995</w:t>
      </w:r>
    </w:p>
    <w:p>
      <w:r>
        <w:t>Интегральный риск равен 0.7995312777443064, этот результат больше допустимого уровня 0,05. Это является подтверждением того, что планируемые к применению или применяемые технические решения с точки зрения достижения целей системной инженерии не являются сбалансированным.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