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81" w:rsidRDefault="000C5B7F"/>
    <w:p w:rsidR="00C30BC6" w:rsidRDefault="00C30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478"/>
        <w:gridCol w:w="1478"/>
        <w:gridCol w:w="1478"/>
        <w:gridCol w:w="1380"/>
        <w:gridCol w:w="1478"/>
      </w:tblGrid>
      <w:tr w:rsidR="00C30BC6" w:rsidRPr="00C30BC6" w:rsidTr="00C30BC6">
        <w:trPr>
          <w:trHeight w:val="297"/>
        </w:trPr>
        <w:tc>
          <w:tcPr>
            <w:tcW w:w="1794" w:type="dxa"/>
            <w:noWrap/>
            <w:hideMark/>
          </w:tcPr>
          <w:p w:rsidR="00C30BC6" w:rsidRPr="00C30BC6" w:rsidRDefault="00C30BC6" w:rsidP="00C30BC6">
            <w:pPr>
              <w:rPr>
                <w:b/>
              </w:rPr>
            </w:pPr>
            <w:r w:rsidRPr="00C30BC6">
              <w:rPr>
                <w:b/>
              </w:rPr>
              <w:t>Model</w:t>
            </w:r>
          </w:p>
        </w:tc>
        <w:tc>
          <w:tcPr>
            <w:tcW w:w="1478" w:type="dxa"/>
            <w:noWrap/>
            <w:hideMark/>
          </w:tcPr>
          <w:p w:rsidR="00C30BC6" w:rsidRPr="00C30BC6" w:rsidRDefault="00C30BC6" w:rsidP="00C30BC6">
            <w:pPr>
              <w:rPr>
                <w:b/>
              </w:rPr>
            </w:pPr>
            <w:r w:rsidRPr="00C30BC6">
              <w:rPr>
                <w:b/>
              </w:rPr>
              <w:t>F1-Score Weighted</w:t>
            </w:r>
          </w:p>
        </w:tc>
        <w:tc>
          <w:tcPr>
            <w:tcW w:w="1478" w:type="dxa"/>
            <w:noWrap/>
            <w:hideMark/>
          </w:tcPr>
          <w:p w:rsidR="00C30BC6" w:rsidRPr="00C30BC6" w:rsidRDefault="00C30BC6" w:rsidP="00C30BC6">
            <w:pPr>
              <w:rPr>
                <w:b/>
              </w:rPr>
            </w:pPr>
            <w:r w:rsidRPr="00C30BC6">
              <w:rPr>
                <w:b/>
              </w:rPr>
              <w:t>Precision Weighted</w:t>
            </w:r>
          </w:p>
        </w:tc>
        <w:tc>
          <w:tcPr>
            <w:tcW w:w="1478" w:type="dxa"/>
            <w:noWrap/>
            <w:hideMark/>
          </w:tcPr>
          <w:p w:rsidR="00C30BC6" w:rsidRPr="00C30BC6" w:rsidRDefault="00C30BC6" w:rsidP="00C30BC6">
            <w:pPr>
              <w:rPr>
                <w:b/>
              </w:rPr>
            </w:pPr>
            <w:r w:rsidRPr="00C30BC6">
              <w:rPr>
                <w:b/>
              </w:rPr>
              <w:t>Recall Weighted</w:t>
            </w:r>
          </w:p>
        </w:tc>
        <w:tc>
          <w:tcPr>
            <w:tcW w:w="1380" w:type="dxa"/>
            <w:noWrap/>
            <w:hideMark/>
          </w:tcPr>
          <w:p w:rsidR="00C30BC6" w:rsidRPr="00C30BC6" w:rsidRDefault="00C30BC6" w:rsidP="00C30BC6">
            <w:pPr>
              <w:rPr>
                <w:b/>
              </w:rPr>
            </w:pPr>
            <w:r w:rsidRPr="00C30BC6">
              <w:rPr>
                <w:b/>
              </w:rPr>
              <w:t>Accuracy</w:t>
            </w:r>
          </w:p>
        </w:tc>
        <w:tc>
          <w:tcPr>
            <w:tcW w:w="1478" w:type="dxa"/>
            <w:noWrap/>
            <w:hideMark/>
          </w:tcPr>
          <w:p w:rsidR="00C30BC6" w:rsidRPr="00C30BC6" w:rsidRDefault="00C30BC6" w:rsidP="00C30BC6">
            <w:pPr>
              <w:rPr>
                <w:b/>
              </w:rPr>
            </w:pPr>
            <w:r w:rsidRPr="00C30BC6">
              <w:rPr>
                <w:b/>
              </w:rPr>
              <w:t xml:space="preserve">ROC </w:t>
            </w:r>
            <w:proofErr w:type="spellStart"/>
            <w:r w:rsidRPr="00C30BC6">
              <w:rPr>
                <w:b/>
              </w:rPr>
              <w:t>AUC</w:t>
            </w:r>
            <w:proofErr w:type="spellEnd"/>
            <w:r w:rsidRPr="00C30BC6">
              <w:rPr>
                <w:b/>
              </w:rPr>
              <w:t xml:space="preserve"> </w:t>
            </w:r>
            <w:proofErr w:type="spellStart"/>
            <w:r w:rsidRPr="00C30BC6">
              <w:rPr>
                <w:b/>
              </w:rPr>
              <w:t>OvO</w:t>
            </w:r>
            <w:proofErr w:type="spellEnd"/>
            <w:r w:rsidRPr="00C30BC6">
              <w:rPr>
                <w:b/>
              </w:rPr>
              <w:t xml:space="preserve"> Weighted</w:t>
            </w:r>
          </w:p>
        </w:tc>
      </w:tr>
      <w:tr w:rsidR="00C30BC6" w:rsidRPr="00C30BC6" w:rsidTr="00C30BC6">
        <w:trPr>
          <w:trHeight w:val="821"/>
        </w:trPr>
        <w:tc>
          <w:tcPr>
            <w:tcW w:w="1794" w:type="dxa"/>
            <w:hideMark/>
          </w:tcPr>
          <w:p w:rsidR="00C30BC6" w:rsidRPr="00C30BC6" w:rsidRDefault="00C30BC6">
            <w:r w:rsidRPr="00C30BC6">
              <w:t>Logistic Regression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0.6728</w:t>
            </w:r>
          </w:p>
        </w:tc>
        <w:tc>
          <w:tcPr>
            <w:tcW w:w="1478" w:type="dxa"/>
            <w:shd w:val="clear" w:color="auto" w:fill="FFFFFF" w:themeFill="background1"/>
            <w:hideMark/>
          </w:tcPr>
          <w:p w:rsidR="00C30BC6" w:rsidRPr="00C30BC6" w:rsidRDefault="00C30BC6" w:rsidP="00C30BC6">
            <w:r w:rsidRPr="00C30BC6">
              <w:t>0.6896</w:t>
            </w:r>
          </w:p>
        </w:tc>
        <w:tc>
          <w:tcPr>
            <w:tcW w:w="1478" w:type="dxa"/>
            <w:shd w:val="clear" w:color="auto" w:fill="FFFFFF" w:themeFill="background1"/>
            <w:hideMark/>
          </w:tcPr>
          <w:p w:rsidR="00C30BC6" w:rsidRPr="00C30BC6" w:rsidRDefault="00C30BC6" w:rsidP="00C30BC6">
            <w:r w:rsidRPr="00C30BC6">
              <w:t>0.7229</w:t>
            </w:r>
          </w:p>
        </w:tc>
        <w:tc>
          <w:tcPr>
            <w:tcW w:w="1380" w:type="dxa"/>
            <w:shd w:val="clear" w:color="auto" w:fill="FFFFFF" w:themeFill="background1"/>
            <w:hideMark/>
          </w:tcPr>
          <w:p w:rsidR="00C30BC6" w:rsidRPr="00C30BC6" w:rsidRDefault="00C30BC6" w:rsidP="00C30BC6">
            <w:r w:rsidRPr="00C30BC6">
              <w:t>0.7229</w:t>
            </w:r>
          </w:p>
        </w:tc>
        <w:tc>
          <w:tcPr>
            <w:tcW w:w="1478" w:type="dxa"/>
            <w:shd w:val="clear" w:color="auto" w:fill="00B050"/>
            <w:hideMark/>
          </w:tcPr>
          <w:p w:rsidR="00C30BC6" w:rsidRPr="00C30BC6" w:rsidRDefault="00C30BC6" w:rsidP="00C30BC6">
            <w:r w:rsidRPr="00C30BC6">
              <w:t>0.6861</w:t>
            </w:r>
          </w:p>
        </w:tc>
      </w:tr>
      <w:tr w:rsidR="00C30BC6" w:rsidRPr="00C30BC6" w:rsidTr="00C30BC6">
        <w:trPr>
          <w:trHeight w:val="821"/>
        </w:trPr>
        <w:tc>
          <w:tcPr>
            <w:tcW w:w="1794" w:type="dxa"/>
            <w:hideMark/>
          </w:tcPr>
          <w:p w:rsidR="00C30BC6" w:rsidRPr="00C30BC6" w:rsidRDefault="00C30BC6">
            <w:r w:rsidRPr="00C30BC6">
              <w:t>Gaussian Naive Bayes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0.567</w:t>
            </w:r>
          </w:p>
        </w:tc>
        <w:tc>
          <w:tcPr>
            <w:tcW w:w="1478" w:type="dxa"/>
            <w:shd w:val="clear" w:color="auto" w:fill="00B050"/>
            <w:hideMark/>
          </w:tcPr>
          <w:p w:rsidR="00C30BC6" w:rsidRPr="00C30BC6" w:rsidRDefault="00C30BC6" w:rsidP="00C30BC6">
            <w:r w:rsidRPr="00C30BC6">
              <w:t>0.6934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0.5492</w:t>
            </w:r>
          </w:p>
        </w:tc>
        <w:tc>
          <w:tcPr>
            <w:tcW w:w="1380" w:type="dxa"/>
            <w:hideMark/>
          </w:tcPr>
          <w:p w:rsidR="00C30BC6" w:rsidRPr="00C30BC6" w:rsidRDefault="00C30BC6" w:rsidP="00C30BC6">
            <w:r w:rsidRPr="00C30BC6">
              <w:t>0.5492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0.6382</w:t>
            </w:r>
          </w:p>
        </w:tc>
      </w:tr>
      <w:tr w:rsidR="00C30BC6" w:rsidRPr="00C30BC6" w:rsidTr="00C30BC6">
        <w:trPr>
          <w:trHeight w:val="860"/>
        </w:trPr>
        <w:tc>
          <w:tcPr>
            <w:tcW w:w="1794" w:type="dxa"/>
            <w:hideMark/>
          </w:tcPr>
          <w:p w:rsidR="00C30BC6" w:rsidRPr="00C30BC6" w:rsidRDefault="00C30BC6">
            <w:r w:rsidRPr="00C30BC6">
              <w:t>K-Nearest Neighbors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0.6232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0.6051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0.6616</w:t>
            </w:r>
          </w:p>
        </w:tc>
        <w:tc>
          <w:tcPr>
            <w:tcW w:w="1380" w:type="dxa"/>
            <w:hideMark/>
          </w:tcPr>
          <w:p w:rsidR="00C30BC6" w:rsidRPr="00C30BC6" w:rsidRDefault="00C30BC6" w:rsidP="00C30BC6">
            <w:r w:rsidRPr="00C30BC6">
              <w:t>0.6616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0.523</w:t>
            </w:r>
          </w:p>
        </w:tc>
      </w:tr>
      <w:tr w:rsidR="00C30BC6" w:rsidRPr="00C30BC6" w:rsidTr="00C30BC6">
        <w:trPr>
          <w:trHeight w:val="552"/>
        </w:trPr>
        <w:tc>
          <w:tcPr>
            <w:tcW w:w="1794" w:type="dxa"/>
            <w:hideMark/>
          </w:tcPr>
          <w:p w:rsidR="00C30BC6" w:rsidRPr="00C30BC6" w:rsidRDefault="00C30BC6">
            <w:r w:rsidRPr="00C30BC6">
              <w:t>Decision Tree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0.6324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0.6377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0.6414</w:t>
            </w:r>
          </w:p>
        </w:tc>
        <w:tc>
          <w:tcPr>
            <w:tcW w:w="1380" w:type="dxa"/>
            <w:hideMark/>
          </w:tcPr>
          <w:p w:rsidR="00C30BC6" w:rsidRPr="00C30BC6" w:rsidRDefault="00C30BC6" w:rsidP="00C30BC6">
            <w:r w:rsidRPr="00C30BC6">
              <w:t>0.6328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0.5474</w:t>
            </w:r>
          </w:p>
        </w:tc>
      </w:tr>
      <w:tr w:rsidR="00C30BC6" w:rsidRPr="00C30BC6" w:rsidTr="00C30BC6">
        <w:trPr>
          <w:trHeight w:val="821"/>
        </w:trPr>
        <w:tc>
          <w:tcPr>
            <w:tcW w:w="1794" w:type="dxa"/>
            <w:hideMark/>
          </w:tcPr>
          <w:p w:rsidR="00C30BC6" w:rsidRPr="00C30BC6" w:rsidRDefault="00C30BC6">
            <w:r w:rsidRPr="00C30BC6">
              <w:t>Support Vector Classifier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0.6043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0.52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0.7211</w:t>
            </w:r>
          </w:p>
        </w:tc>
        <w:tc>
          <w:tcPr>
            <w:tcW w:w="1380" w:type="dxa"/>
            <w:hideMark/>
          </w:tcPr>
          <w:p w:rsidR="00C30BC6" w:rsidRPr="00C30BC6" w:rsidRDefault="00C30BC6" w:rsidP="00C30BC6">
            <w:r w:rsidRPr="00C30BC6">
              <w:t>0.7211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0.6309</w:t>
            </w:r>
          </w:p>
        </w:tc>
      </w:tr>
      <w:tr w:rsidR="00C30BC6" w:rsidRPr="00C30BC6" w:rsidTr="00C30BC6">
        <w:trPr>
          <w:trHeight w:val="552"/>
        </w:trPr>
        <w:tc>
          <w:tcPr>
            <w:tcW w:w="1794" w:type="dxa"/>
            <w:hideMark/>
          </w:tcPr>
          <w:p w:rsidR="00C30BC6" w:rsidRPr="00C30BC6" w:rsidRDefault="00C30BC6">
            <w:r w:rsidRPr="00C30BC6">
              <w:t>Random Forest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0.6733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0.6695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0.7178</w:t>
            </w:r>
          </w:p>
        </w:tc>
        <w:tc>
          <w:tcPr>
            <w:tcW w:w="1380" w:type="dxa"/>
            <w:hideMark/>
          </w:tcPr>
          <w:p w:rsidR="00C30BC6" w:rsidRPr="00C30BC6" w:rsidRDefault="00C30BC6" w:rsidP="00C30BC6">
            <w:r w:rsidRPr="00C30BC6">
              <w:t>0.7281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0.6598</w:t>
            </w:r>
          </w:p>
        </w:tc>
      </w:tr>
      <w:tr w:rsidR="00C30BC6" w:rsidRPr="00C30BC6" w:rsidTr="00C30BC6">
        <w:trPr>
          <w:trHeight w:val="552"/>
        </w:trPr>
        <w:tc>
          <w:tcPr>
            <w:tcW w:w="1794" w:type="dxa"/>
            <w:hideMark/>
          </w:tcPr>
          <w:p w:rsidR="00C30BC6" w:rsidRPr="00C30BC6" w:rsidRDefault="00C30BC6">
            <w:r w:rsidRPr="00C30BC6">
              <w:t>Gradient Boosting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0.6665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0.6557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0.7024</w:t>
            </w:r>
          </w:p>
        </w:tc>
        <w:tc>
          <w:tcPr>
            <w:tcW w:w="1380" w:type="dxa"/>
            <w:hideMark/>
          </w:tcPr>
          <w:p w:rsidR="00C30BC6" w:rsidRPr="00C30BC6" w:rsidRDefault="00C30BC6" w:rsidP="00C30BC6">
            <w:r w:rsidRPr="00C30BC6">
              <w:t>0.7007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0.6354</w:t>
            </w:r>
          </w:p>
        </w:tc>
      </w:tr>
      <w:tr w:rsidR="00C30BC6" w:rsidRPr="00C30BC6" w:rsidTr="00C30BC6">
        <w:trPr>
          <w:trHeight w:val="297"/>
        </w:trPr>
        <w:tc>
          <w:tcPr>
            <w:tcW w:w="1794" w:type="dxa"/>
            <w:hideMark/>
          </w:tcPr>
          <w:p w:rsidR="00C30BC6" w:rsidRPr="00C30BC6" w:rsidRDefault="00C30BC6">
            <w:proofErr w:type="spellStart"/>
            <w:r w:rsidRPr="00C30BC6">
              <w:t>AdaBoost</w:t>
            </w:r>
            <w:proofErr w:type="spellEnd"/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0.6675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0.6601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0.6956</w:t>
            </w:r>
          </w:p>
        </w:tc>
        <w:tc>
          <w:tcPr>
            <w:tcW w:w="1380" w:type="dxa"/>
            <w:hideMark/>
          </w:tcPr>
          <w:p w:rsidR="00C30BC6" w:rsidRPr="00C30BC6" w:rsidRDefault="00C30BC6" w:rsidP="00C30BC6">
            <w:r w:rsidRPr="00C30BC6">
              <w:t>0.6956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0.616</w:t>
            </w:r>
          </w:p>
        </w:tc>
      </w:tr>
      <w:tr w:rsidR="00C30BC6" w:rsidRPr="00C30BC6" w:rsidTr="00C30BC6">
        <w:trPr>
          <w:trHeight w:val="1091"/>
        </w:trPr>
        <w:tc>
          <w:tcPr>
            <w:tcW w:w="1794" w:type="dxa"/>
            <w:hideMark/>
          </w:tcPr>
          <w:p w:rsidR="00C30BC6" w:rsidRPr="00C30BC6" w:rsidRDefault="00C30BC6">
            <w:r w:rsidRPr="00C30BC6">
              <w:t>Linear Discriminant Analysis</w:t>
            </w:r>
          </w:p>
        </w:tc>
        <w:tc>
          <w:tcPr>
            <w:tcW w:w="1478" w:type="dxa"/>
            <w:shd w:val="clear" w:color="auto" w:fill="00B050"/>
            <w:hideMark/>
          </w:tcPr>
          <w:p w:rsidR="00C30BC6" w:rsidRPr="00C30BC6" w:rsidRDefault="00C30BC6" w:rsidP="00C30BC6">
            <w:r w:rsidRPr="00C30BC6">
              <w:t>0.6925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0.6886</w:t>
            </w:r>
          </w:p>
        </w:tc>
        <w:tc>
          <w:tcPr>
            <w:tcW w:w="1478" w:type="dxa"/>
            <w:shd w:val="clear" w:color="auto" w:fill="00B050"/>
            <w:hideMark/>
          </w:tcPr>
          <w:p w:rsidR="00C30BC6" w:rsidRPr="00C30BC6" w:rsidRDefault="00C30BC6" w:rsidP="00C30BC6">
            <w:r w:rsidRPr="00C30BC6">
              <w:t>0.7245</w:t>
            </w:r>
          </w:p>
        </w:tc>
        <w:tc>
          <w:tcPr>
            <w:tcW w:w="1380" w:type="dxa"/>
            <w:shd w:val="clear" w:color="auto" w:fill="00B050"/>
            <w:hideMark/>
          </w:tcPr>
          <w:p w:rsidR="00C30BC6" w:rsidRPr="00C30BC6" w:rsidRDefault="00C30BC6" w:rsidP="00C30BC6">
            <w:r w:rsidRPr="00C30BC6">
              <w:t>0.7245</w:t>
            </w:r>
          </w:p>
        </w:tc>
        <w:tc>
          <w:tcPr>
            <w:tcW w:w="1478" w:type="dxa"/>
            <w:hideMark/>
          </w:tcPr>
          <w:p w:rsidR="00C30BC6" w:rsidRPr="00C30BC6" w:rsidRDefault="00C30BC6" w:rsidP="00C30BC6">
            <w:r w:rsidRPr="00C30BC6">
              <w:t>0.6841</w:t>
            </w:r>
          </w:p>
        </w:tc>
      </w:tr>
    </w:tbl>
    <w:p w:rsidR="00C30BC6" w:rsidRDefault="00C30BC6"/>
    <w:p w:rsidR="00C30BC6" w:rsidRDefault="00D93C09">
      <w:r>
        <w:t>After</w:t>
      </w:r>
      <w:bookmarkStart w:id="0" w:name="_GoBack"/>
      <w:bookmarkEnd w:id="0"/>
      <w:r>
        <w:t xml:space="preserve"> hyper parameter </w:t>
      </w: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1911"/>
        <w:gridCol w:w="1911"/>
        <w:gridCol w:w="1911"/>
        <w:gridCol w:w="1911"/>
        <w:gridCol w:w="1911"/>
      </w:tblGrid>
      <w:tr w:rsidR="00D93C09" w:rsidRPr="00D93C09" w:rsidTr="00D93C09">
        <w:trPr>
          <w:trHeight w:val="292"/>
        </w:trPr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>
            <w:r w:rsidRPr="00D93C09">
              <w:t>Model</w:t>
            </w:r>
          </w:p>
        </w:tc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>
            <w:r w:rsidRPr="00D93C09">
              <w:t>Precision</w:t>
            </w:r>
          </w:p>
        </w:tc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>
            <w:r w:rsidRPr="00D93C09">
              <w:t>Recall</w:t>
            </w:r>
          </w:p>
        </w:tc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>
            <w:r w:rsidRPr="00D93C09">
              <w:t>F1-Score</w:t>
            </w:r>
          </w:p>
        </w:tc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>
            <w:r w:rsidRPr="00D93C09">
              <w:t xml:space="preserve">Accuracy </w:t>
            </w:r>
          </w:p>
        </w:tc>
      </w:tr>
      <w:tr w:rsidR="00D93C09" w:rsidRPr="00D93C09" w:rsidTr="00D93C09">
        <w:trPr>
          <w:trHeight w:val="809"/>
        </w:trPr>
        <w:tc>
          <w:tcPr>
            <w:tcW w:w="1911" w:type="dxa"/>
            <w:noWrap/>
            <w:hideMark/>
          </w:tcPr>
          <w:p w:rsidR="00D93C09" w:rsidRPr="00D93C09" w:rsidRDefault="00D93C09">
            <w:r w:rsidRPr="00D93C09">
              <w:t>Logistic Regression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0.75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0.78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0.77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0.78</w:t>
            </w:r>
          </w:p>
        </w:tc>
      </w:tr>
      <w:tr w:rsidR="00D93C09" w:rsidRPr="00D93C09" w:rsidTr="00D93C09">
        <w:trPr>
          <w:trHeight w:val="809"/>
        </w:trPr>
        <w:tc>
          <w:tcPr>
            <w:tcW w:w="1911" w:type="dxa"/>
            <w:noWrap/>
            <w:hideMark/>
          </w:tcPr>
          <w:p w:rsidR="00D93C09" w:rsidRPr="00D93C09" w:rsidRDefault="00D93C09">
            <w:r w:rsidRPr="00D93C09">
              <w:t>Gaussian Naive Bayes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0.78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0.49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0.55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0.49</w:t>
            </w:r>
          </w:p>
        </w:tc>
      </w:tr>
      <w:tr w:rsidR="00D93C09" w:rsidRPr="00D93C09" w:rsidTr="00D93C09">
        <w:trPr>
          <w:trHeight w:val="600"/>
        </w:trPr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>
            <w:r w:rsidRPr="00D93C09">
              <w:t>K-Nearest Neighbors</w:t>
            </w:r>
          </w:p>
        </w:tc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 w:rsidP="00D93C09">
            <w:r w:rsidRPr="00D93C09">
              <w:t>0.77</w:t>
            </w:r>
          </w:p>
        </w:tc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 w:rsidP="00D93C09">
            <w:r w:rsidRPr="00D93C09">
              <w:t>0.8</w:t>
            </w:r>
          </w:p>
        </w:tc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 w:rsidP="00D93C09">
            <w:r w:rsidRPr="00D93C09">
              <w:t>0.78</w:t>
            </w:r>
          </w:p>
        </w:tc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 w:rsidP="00D93C09">
            <w:r w:rsidRPr="00D93C09">
              <w:t>0.8</w:t>
            </w:r>
          </w:p>
        </w:tc>
      </w:tr>
      <w:tr w:rsidR="00D93C09" w:rsidRPr="00D93C09" w:rsidTr="00D93C09">
        <w:trPr>
          <w:trHeight w:val="544"/>
        </w:trPr>
        <w:tc>
          <w:tcPr>
            <w:tcW w:w="1911" w:type="dxa"/>
            <w:noWrap/>
            <w:hideMark/>
          </w:tcPr>
          <w:p w:rsidR="00D93C09" w:rsidRPr="00D93C09" w:rsidRDefault="00D93C09">
            <w:r w:rsidRPr="00D93C09">
              <w:t>Decision Tree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0.76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0.72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0.76</w:t>
            </w:r>
          </w:p>
        </w:tc>
      </w:tr>
      <w:tr w:rsidR="00D93C09" w:rsidRPr="00D93C09" w:rsidTr="00D93C09">
        <w:trPr>
          <w:trHeight w:val="809"/>
        </w:trPr>
        <w:tc>
          <w:tcPr>
            <w:tcW w:w="1911" w:type="dxa"/>
            <w:noWrap/>
            <w:hideMark/>
          </w:tcPr>
          <w:p w:rsidR="00D93C09" w:rsidRPr="00D93C09" w:rsidRDefault="00D93C09">
            <w:r w:rsidRPr="00D93C09">
              <w:lastRenderedPageBreak/>
              <w:t>Support Vector Classifier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0.69</w:t>
            </w:r>
          </w:p>
        </w:tc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 w:rsidP="00D93C09">
            <w:r w:rsidRPr="00D93C09">
              <w:t>0.83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0.75</w:t>
            </w:r>
          </w:p>
        </w:tc>
        <w:tc>
          <w:tcPr>
            <w:tcW w:w="1911" w:type="dxa"/>
            <w:shd w:val="clear" w:color="auto" w:fill="00B050"/>
            <w:noWrap/>
            <w:hideMark/>
          </w:tcPr>
          <w:p w:rsidR="00D93C09" w:rsidRPr="00D93C09" w:rsidRDefault="00D93C09" w:rsidP="00D93C09">
            <w:r w:rsidRPr="00D93C09">
              <w:t>0.83</w:t>
            </w:r>
          </w:p>
        </w:tc>
      </w:tr>
      <w:tr w:rsidR="00D93C09" w:rsidRPr="00D93C09" w:rsidTr="00D93C09">
        <w:trPr>
          <w:trHeight w:val="544"/>
        </w:trPr>
        <w:tc>
          <w:tcPr>
            <w:tcW w:w="1911" w:type="dxa"/>
            <w:noWrap/>
            <w:hideMark/>
          </w:tcPr>
          <w:p w:rsidR="00D93C09" w:rsidRPr="00D93C09" w:rsidRDefault="00D93C09">
            <w:r w:rsidRPr="00D93C09">
              <w:t>Random Forest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0.75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0.79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0.77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0.79</w:t>
            </w:r>
          </w:p>
        </w:tc>
      </w:tr>
      <w:tr w:rsidR="00D93C09" w:rsidRPr="00D93C09" w:rsidTr="00D93C09">
        <w:trPr>
          <w:trHeight w:val="544"/>
        </w:trPr>
        <w:tc>
          <w:tcPr>
            <w:tcW w:w="1911" w:type="dxa"/>
            <w:noWrap/>
            <w:hideMark/>
          </w:tcPr>
          <w:p w:rsidR="00D93C09" w:rsidRPr="00D93C09" w:rsidRDefault="00D93C09">
            <w:r w:rsidRPr="00D93C09">
              <w:t>Gradient Boosting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0.71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0.78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0.74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0.78</w:t>
            </w:r>
          </w:p>
        </w:tc>
      </w:tr>
      <w:tr w:rsidR="00D93C09" w:rsidRPr="00D93C09" w:rsidTr="00D93C09">
        <w:trPr>
          <w:trHeight w:val="292"/>
        </w:trPr>
        <w:tc>
          <w:tcPr>
            <w:tcW w:w="1911" w:type="dxa"/>
            <w:noWrap/>
            <w:hideMark/>
          </w:tcPr>
          <w:p w:rsidR="00D93C09" w:rsidRPr="00D93C09" w:rsidRDefault="00D93C09">
            <w:proofErr w:type="spellStart"/>
            <w:r w:rsidRPr="00D93C09">
              <w:t>AdaBoost</w:t>
            </w:r>
            <w:proofErr w:type="spellEnd"/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0.75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0.74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0.74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0.8</w:t>
            </w:r>
          </w:p>
        </w:tc>
      </w:tr>
      <w:tr w:rsidR="00D93C09" w:rsidRPr="00D93C09" w:rsidTr="00D93C09">
        <w:trPr>
          <w:trHeight w:val="613"/>
        </w:trPr>
        <w:tc>
          <w:tcPr>
            <w:tcW w:w="1911" w:type="dxa"/>
            <w:noWrap/>
            <w:hideMark/>
          </w:tcPr>
          <w:p w:rsidR="00D93C09" w:rsidRPr="00D93C09" w:rsidRDefault="00D93C09">
            <w:r w:rsidRPr="00D93C09">
              <w:t xml:space="preserve">Linear Discriminant 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0.75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0.75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0.75</w:t>
            </w:r>
          </w:p>
        </w:tc>
        <w:tc>
          <w:tcPr>
            <w:tcW w:w="1911" w:type="dxa"/>
            <w:noWrap/>
            <w:hideMark/>
          </w:tcPr>
          <w:p w:rsidR="00D93C09" w:rsidRPr="00D93C09" w:rsidRDefault="00D93C09" w:rsidP="00D93C09">
            <w:r w:rsidRPr="00D93C09">
              <w:t>0.75</w:t>
            </w:r>
          </w:p>
        </w:tc>
      </w:tr>
    </w:tbl>
    <w:p w:rsidR="00D93C09" w:rsidRDefault="00D93C09"/>
    <w:sectPr w:rsidR="00D9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C6"/>
    <w:rsid w:val="0009422F"/>
    <w:rsid w:val="000C5B7F"/>
    <w:rsid w:val="001A39B1"/>
    <w:rsid w:val="001D69C1"/>
    <w:rsid w:val="003F2591"/>
    <w:rsid w:val="00582DE7"/>
    <w:rsid w:val="005A0DCE"/>
    <w:rsid w:val="00732C10"/>
    <w:rsid w:val="007C1431"/>
    <w:rsid w:val="007C31BD"/>
    <w:rsid w:val="00915153"/>
    <w:rsid w:val="00B83CF6"/>
    <w:rsid w:val="00C30BC6"/>
    <w:rsid w:val="00D768A9"/>
    <w:rsid w:val="00D93C09"/>
    <w:rsid w:val="00E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12EE"/>
  <w15:chartTrackingRefBased/>
  <w15:docId w15:val="{960DF63E-DDB3-4000-B595-840AEFCA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2024-03-25T18:34:00Z</dcterms:created>
  <dcterms:modified xsi:type="dcterms:W3CDTF">2024-03-26T07:22:00Z</dcterms:modified>
</cp:coreProperties>
</file>