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CNQ — User Manual</w:t>
      </w:r>
    </w:p>
    <w:p>
      <w:pPr>
        <w:jc w:val="center"/>
      </w:pPr>
      <w:r>
        <w:rPr>
          <w:b w:val="0"/>
          <w:i w:val="0"/>
        </w:rPr>
        <w:t>Censored Non-crossing Quantile Regression — a local app for predicting the full survival-time distribution.</w:t>
      </w:r>
    </w:p>
    <w:p>
      <w:pPr>
        <w:jc w:val="center"/>
      </w:pPr>
      <w:r>
        <w:rPr>
          <w:b w:val="0"/>
          <w:i w:val="0"/>
        </w:rPr>
        <w:t>Everything runs on your computer; your data never leaves it. This manual covers training, auto-tuning, saving, predicting and projecting. It is generated from make_manual.py.</w:t>
      </w:r>
    </w:p>
    <w:p>
      <w:r>
        <w:br w:type="page"/>
      </w:r>
    </w:p>
    <w:p>
      <w:pPr>
        <w:pStyle w:val="Heading1"/>
      </w:pPr>
      <w:r>
        <w:t>1. What CNQ does</w:t>
      </w:r>
    </w:p>
    <w:p>
      <w:r>
        <w:rPr>
          <w:b w:val="0"/>
          <w:i w:val="0"/>
        </w:rPr>
        <w:t>CNQ predicts, for each subject, the whole distribution of survival time — not just a single number. It does this by predicting a set of quantiles of the survival time (e.g. the 10th, 50th and 90th percentiles), from which you get a median prediction and an interval. The models are 'non-crossing', so the predicted quantiles never overlap.</w:t>
      </w:r>
    </w:p>
    <w:p>
      <w:r>
        <w:rPr>
          <w:b w:val="0"/>
          <w:i w:val="0"/>
        </w:rPr>
        <w:t>Three things you can do:</w:t>
      </w:r>
    </w:p>
    <w:p>
      <w:pPr>
        <w:pStyle w:val="ListBullet"/>
      </w:pPr>
      <w:r>
        <w:t>Train a model on your survival data (or let Auto-tune choose one).</w:t>
      </w:r>
    </w:p>
    <w:p>
      <w:pPr>
        <w:pStyle w:val="ListBullet"/>
      </w:pPr>
      <w:r>
        <w:t>Predict survival-time quantiles for new subjects from a saved model.</w:t>
      </w:r>
    </w:p>
    <w:p>
      <w:pPr>
        <w:pStyle w:val="ListBullet"/>
      </w:pPr>
      <w:r>
        <w:t>Project population trends — how many events by a time, or the time until a target number of events.</w:t>
      </w:r>
    </w:p>
    <w:p>
      <w:r>
        <w:rPr>
          <w:b w:val="0"/>
          <w:i w:val="0"/>
        </w:rPr>
        <w:t>It works with censored data (subjects who hadn't had the event by their last follow-up), which is the norm in survival analysis.</w:t>
      </w:r>
    </w:p>
    <w:p>
      <w:pPr>
        <w:pStyle w:val="Heading1"/>
      </w:pPr>
      <w:r>
        <w:t>2. Getting started</w:t>
      </w:r>
    </w:p>
    <w:p>
      <w:pPr>
        <w:pStyle w:val="ListNumber"/>
      </w:pPr>
      <w:r>
        <w:t>Start the app (double-click run.bat / run.sh, or run `python run.py` in the cnq_app folder). The first launch installs what it needs.</w:t>
      </w:r>
    </w:p>
    <w:p>
      <w:pPr>
        <w:pStyle w:val="ListNumber"/>
      </w:pPr>
      <w:r>
        <w:t>Open http://127.0.0.1:8000/ in your browser.</w:t>
      </w:r>
    </w:p>
    <w:p>
      <w:pPr>
        <w:pStyle w:val="ListNumber"/>
      </w:pPr>
      <w:r>
        <w:t>If you just updated the app, press Ctrl+Shift+R (Cmd+Shift+R on Mac) to load the new version.</w:t>
      </w:r>
    </w:p>
    <w:p>
      <w:r>
        <w:rPr>
          <w:b w:val="0"/>
          <w:i w:val="0"/>
        </w:rPr>
        <w:t>Keep the terminal window open while you use the app; closing it stops the server. Everything else is done in the browser — no typing commands.</w:t>
      </w:r>
    </w:p>
    <w:p>
      <w:r>
        <w:rPr>
          <w:b w:val="0"/>
          <w:i/>
        </w:rPr>
        <w:t>Want to see it work first? Use the built-in demo — see section 9.</w:t>
      </w:r>
    </w:p>
    <w:p>
      <w:pPr>
        <w:pStyle w:val="Heading1"/>
      </w:pPr>
      <w:r>
        <w:t>3. Key concepts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What it means</w:t>
            </w:r>
          </w:p>
        </w:tc>
      </w:tr>
      <w:tr>
        <w:tc>
          <w:tcPr>
            <w:tcW w:type="dxa" w:w="4320"/>
          </w:tcPr>
          <w:p>
            <w:r>
              <w:t>Follow-up time</w:t>
            </w:r>
          </w:p>
        </w:tc>
        <w:tc>
          <w:tcPr>
            <w:tcW w:type="dxa" w:w="4320"/>
          </w:tcPr>
          <w:p>
            <w:r>
              <w:t>Time from start until the event or the last time the subject was seen (a positive number).</w:t>
            </w:r>
          </w:p>
        </w:tc>
      </w:tr>
      <w:tr>
        <w:tc>
          <w:tcPr>
            <w:tcW w:type="dxa" w:w="4320"/>
          </w:tcPr>
          <w:p>
            <w:r>
              <w:t>Event indicator</w:t>
            </w:r>
          </w:p>
        </w:tc>
        <w:tc>
          <w:tcPr>
            <w:tcW w:type="dxa" w:w="4320"/>
          </w:tcPr>
          <w:p>
            <w:r>
              <w:t>1 = the event happened; 0 = censored (event-free at last contact).</w:t>
            </w:r>
          </w:p>
        </w:tc>
      </w:tr>
      <w:tr>
        <w:tc>
          <w:tcPr>
            <w:tcW w:type="dxa" w:w="4320"/>
          </w:tcPr>
          <w:p>
            <w:r>
              <w:t>Censoring</w:t>
            </w:r>
          </w:p>
        </w:tc>
        <w:tc>
          <w:tcPr>
            <w:tcW w:type="dxa" w:w="4320"/>
          </w:tcPr>
          <w:p>
            <w:r>
              <w:t>Not observing the event before follow-up ended. CNQ accounts for it (IPCW weighting).</w:t>
            </w:r>
          </w:p>
        </w:tc>
      </w:tr>
      <w:tr>
        <w:tc>
          <w:tcPr>
            <w:tcW w:type="dxa" w:w="4320"/>
          </w:tcPr>
          <w:p>
            <w:r>
              <w:t>Quantile (τ)</w:t>
            </w:r>
          </w:p>
        </w:tc>
        <w:tc>
          <w:tcPr>
            <w:tcW w:type="dxa" w:w="4320"/>
          </w:tcPr>
          <w:p>
            <w:r>
              <w:t>The τ-th percentile of survival time. τ=0.5 is the median; τ=0.9 is a late time by which 90% are predicted to have had the event.</w:t>
            </w:r>
          </w:p>
        </w:tc>
      </w:tr>
      <w:tr>
        <w:tc>
          <w:tcPr>
            <w:tcW w:type="dxa" w:w="4320"/>
          </w:tcPr>
          <w:p>
            <w:r>
              <w:t>Non-crossing</w:t>
            </w:r>
          </w:p>
        </w:tc>
        <w:tc>
          <w:tcPr>
            <w:tcW w:type="dxa" w:w="4320"/>
          </w:tcPr>
          <w:p>
            <w:r>
              <w:t>Higher quantiles are always ≥ lower ones, so each subject's predicted survival curve is well-behaved.</w:t>
            </w:r>
          </w:p>
        </w:tc>
      </w:tr>
      <w:tr>
        <w:tc>
          <w:tcPr>
            <w:tcW w:type="dxa" w:w="4320"/>
          </w:tcPr>
          <w:p>
            <w:r>
              <w:t>Survival curve S(t)</w:t>
            </w:r>
          </w:p>
        </w:tc>
        <w:tc>
          <w:tcPr>
            <w:tcW w:type="dxa" w:w="4320"/>
          </w:tcPr>
          <w:p>
            <w:r>
              <w:t>The probability of still being event-free at time t; S(t) = 1 − (fraction with the event by t).</w:t>
            </w:r>
          </w:p>
        </w:tc>
      </w:tr>
    </w:tbl>
    <w:p/>
    <w:p>
      <w:pPr>
        <w:pStyle w:val="Heading1"/>
      </w:pPr>
      <w:r>
        <w:t>4. Preparing your data</w:t>
      </w:r>
    </w:p>
    <w:p>
      <w:r>
        <w:rPr>
          <w:b w:val="0"/>
          <w:i w:val="0"/>
        </w:rPr>
        <w:t>Use one CSV, one row per subject, with a single header row and no blank rows. You need:</w:t>
      </w:r>
    </w:p>
    <w:p>
      <w:pPr>
        <w:pStyle w:val="ListBullet"/>
      </w:pPr>
      <w:r>
        <w:t>a follow-up time column (positive numbers),</w:t>
      </w:r>
    </w:p>
    <w:p>
      <w:pPr>
        <w:pStyle w:val="ListBullet"/>
      </w:pPr>
      <w:r>
        <w:t>an event column (1 = event, 0 = censored — or two other values you'll map),</w:t>
      </w:r>
    </w:p>
    <w:p>
      <w:pPr>
        <w:pStyle w:val="ListBullet"/>
      </w:pPr>
      <w:r>
        <w:t>one or more numeric covariate (feature) columns,</w:t>
      </w:r>
    </w:p>
    <w:p>
      <w:pPr>
        <w:pStyle w:val="ListBullet"/>
      </w:pPr>
      <w:r>
        <w:t>optionally a subject-ID column (a label, not used as a predictor).</w:t>
      </w:r>
    </w:p>
    <w:p>
      <w:r>
        <w:rPr>
          <w:b w:val="0"/>
          <w:i w:val="0"/>
        </w:rPr>
        <w:t>Guidance: aim for at least ~100 events, and enough that each split keeps ≥10 events. The app checks this and warns you. Rows with blank/non-numeric cells in the columns you use are excluded (never guessed).</w:t>
      </w:r>
    </w:p>
    <w:p>
      <w:pPr>
        <w:pStyle w:val="Heading1"/>
      </w:pPr>
      <w:r>
        <w:t>5. Train a model</w:t>
      </w:r>
    </w:p>
    <w:p>
      <w:pPr>
        <w:pStyle w:val="Heading2"/>
      </w:pPr>
      <w:r>
        <w:t>5.1 Upload</w:t>
      </w:r>
    </w:p>
    <w:p>
      <w:r>
        <w:rPr>
          <w:b w:val="0"/>
          <w:i w:val="0"/>
        </w:rPr>
        <w:t>On the Train tab, drag in your CSV (or click to choose it). No data yet? Use the demo data, the sample data, or download a template.</w:t>
      </w:r>
    </w:p>
    <w:p>
      <w:pPr>
        <w:pStyle w:val="Heading2"/>
      </w:pPr>
      <w:r>
        <w:t>5.2 Map columns</w:t>
      </w:r>
    </w:p>
    <w:p>
      <w:r>
        <w:rPr>
          <w:b w:val="0"/>
          <w:i w:val="0"/>
        </w:rPr>
        <w:t>Choose which columns are the duration and event, optionally a subject-ID column and a time unit (e.g. 'months', shown on plots), and tick the covariates to include. If the event column isn't 0/1, you're asked which value means the event. A live panel shows errors (which block training) and warnings (which you acknowledge), plus a summary (rows used, events, censoring, duration range).</w:t>
      </w:r>
    </w:p>
    <w:p>
      <w:pPr>
        <w:pStyle w:val="Heading2"/>
      </w:pPr>
      <w:r>
        <w:t>5.3 Settings: Choose settings or Auto-tune</w:t>
      </w:r>
    </w:p>
    <w:p>
      <w:r>
        <w:rPr>
          <w:b w:val="0"/>
          <w:i w:val="0"/>
        </w:rPr>
        <w:t>Choose settings (default): pick one or more models and their hyperparameters. 'Paper preset' reuses values tuned in the paper on a public dataset of similar size (the closest is marked 'suggested'); 'Custom' lets you set them yourself and is pre-filled from your data's size and covariate count.</w:t>
      </w:r>
    </w:p>
    <w:p>
      <w:r>
        <w:rPr>
          <w:b w:val="0"/>
          <w:i w:val="0"/>
        </w:rPr>
        <w:t>Auto-tune: let the app search several models and settings on your data and pick the best.</w:t>
      </w:r>
    </w:p>
    <w:p>
      <w:pPr>
        <w:pStyle w:val="ListNumber"/>
      </w:pPr>
      <w:r>
        <w:t>Tick the model families to try — KAN-CNQ and MLP-CNQ by default. Transformers are opt-in and help only for nonstandard / cross-modality data.</w:t>
      </w:r>
    </w:p>
    <w:p>
      <w:pPr>
        <w:pStyle w:val="ListNumber"/>
      </w:pPr>
      <w:r>
        <w:t>Choose a search effort: Quick (~6 trials), Standard (~12), or Thorough (~24, with repeated splits for steadier picks).</w:t>
      </w:r>
    </w:p>
    <w:p>
      <w:pPr>
        <w:pStyle w:val="ListNumber"/>
      </w:pPr>
      <w:r>
        <w:t>Click 'Find best settings' and watch the progress (best-so-far is shown). You can cancel; you'll still get the best found so far.</w:t>
      </w:r>
    </w:p>
    <w:p>
      <w:pPr>
        <w:pStyle w:val="ListNumber"/>
      </w:pPr>
      <w:r>
        <w:t>Review the leaderboard (lower validation pinball is better), then click 'Use best settings' to fill in the winner. Review and Start training.</w:t>
      </w:r>
    </w:p>
    <w:p>
      <w:pPr>
        <w:pStyle w:val="Heading2"/>
      </w:pPr>
      <w:r>
        <w:t>5.4 Quantile levels</w:t>
      </w:r>
    </w:p>
    <w:p>
      <w:r>
        <w:rPr>
          <w:b w:val="0"/>
          <w:i w:val="0"/>
        </w:rPr>
        <w:t>The default (0.1, 0.25, 0.5, 0.75, 0.9) is a good start. 'Every 10% / 5% / 1%' or a custom list give a smoother, further-reaching predicted curve — useful for survival curves and for projection. 0.1, 0.5 and 0.9 are always included. Very low/high levels rely on few events and can be unreliable.</w:t>
      </w:r>
    </w:p>
    <w:p>
      <w:pPr>
        <w:pStyle w:val="Heading2"/>
      </w:pPr>
      <w:r>
        <w:t>5.5 Splits, seed, deterministic</w:t>
      </w:r>
    </w:p>
    <w:p>
      <w:r>
        <w:rPr>
          <w:b w:val="0"/>
          <w:i w:val="0"/>
        </w:rPr>
        <w:t>Set the train/validation/test split, the number of repeated splits (more gives error bars on the metrics), a random seed, and optionally Deterministic mode (slower but exactly reproducible). Then Start training and watch the progress bar; you can Cancel.</w:t>
      </w:r>
    </w:p>
    <w:p>
      <w:pPr>
        <w:pStyle w:val="Heading2"/>
      </w:pPr>
      <w:r>
        <w:t>5.6 Reading the results</w:t>
      </w:r>
    </w:p>
    <w:p>
      <w:r>
        <w:rPr>
          <w:b w:val="0"/>
          <w:i w:val="0"/>
        </w:rPr>
        <w:t>The report shows metrics (mean ± SD across repeated splits) and plots: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How to read it</w:t>
            </w:r>
          </w:p>
        </w:tc>
      </w:tr>
      <w:tr>
        <w:tc>
          <w:tcPr>
            <w:tcW w:type="dxa" w:w="4320"/>
          </w:tcPr>
          <w:p>
            <w:r>
              <w:t>Pinball (IPCW)</w:t>
            </w:r>
          </w:p>
        </w:tc>
        <w:tc>
          <w:tcPr>
            <w:tcW w:type="dxa" w:w="4320"/>
          </w:tcPr>
          <w:p>
            <w:r>
              <w:t>Overall accuracy of the predicted quantiles; lower is better.</w:t>
            </w:r>
          </w:p>
        </w:tc>
      </w:tr>
      <w:tr>
        <w:tc>
          <w:tcPr>
            <w:tcW w:type="dxa" w:w="4320"/>
          </w:tcPr>
          <w:p>
            <w:r>
              <w:t>ICP 80% / 50%</w:t>
            </w:r>
          </w:p>
        </w:tc>
        <w:tc>
          <w:tcPr>
            <w:tcW w:type="dxa" w:w="4320"/>
          </w:tcPr>
          <w:p>
            <w:r>
              <w:t>Interval coverage — how often the true time fell in the 80% / 50% predicted interval; closer to 80% / 50% is better.</w:t>
            </w:r>
          </w:p>
        </w:tc>
      </w:tr>
      <w:tr>
        <w:tc>
          <w:tcPr>
            <w:tcW w:type="dxa" w:w="4320"/>
          </w:tcPr>
          <w:p>
            <w:r>
              <w:t>Uno C-index</w:t>
            </w:r>
          </w:p>
        </w:tc>
        <w:tc>
          <w:tcPr>
            <w:tcW w:type="dxa" w:w="4320"/>
          </w:tcPr>
          <w:p>
            <w:r>
              <w:t>Discrimination — ranking subjects by risk; 0.5 = chance, 1.0 = perfect.</w:t>
            </w:r>
          </w:p>
        </w:tc>
      </w:tr>
      <w:tr>
        <w:tc>
          <w:tcPr>
            <w:tcW w:type="dxa" w:w="4320"/>
          </w:tcPr>
          <w:p>
            <w:r>
              <w:t>Calibration</w:t>
            </w:r>
          </w:p>
        </w:tc>
        <w:tc>
          <w:tcPr>
            <w:tcW w:type="dxa" w:w="4320"/>
          </w:tcPr>
          <w:p>
            <w:r>
              <w:t>Predicted vs observed coverage per τ; near the diagonal is good.</w:t>
            </w:r>
          </w:p>
        </w:tc>
      </w:tr>
      <w:tr>
        <w:tc>
          <w:tcPr>
            <w:tcW w:type="dxa" w:w="4320"/>
          </w:tcPr>
          <w:p>
            <w:r>
              <w:t>Crossing rate</w:t>
            </w:r>
          </w:p>
        </w:tc>
        <w:tc>
          <w:tcPr>
            <w:tcW w:type="dxa" w:w="4320"/>
          </w:tcPr>
          <w:p>
            <w:r>
              <w:t>Should be 0% for the non-crossing (_gaps) models.</w:t>
            </w:r>
          </w:p>
        </w:tc>
      </w:tr>
    </w:tbl>
    <w:p/>
    <w:p>
      <w:r>
        <w:rPr>
          <w:b w:val="0"/>
          <w:i w:val="0"/>
        </w:rPr>
        <w:t>Plots include the Kaplan–Meier outcome curve, training curves, calibration, individual quantile profiles and (with a dense grid) survival curves, coverage by interval width, permutation importance, and pinball across splits. Open the report or download the results zip.</w:t>
      </w:r>
    </w:p>
    <w:p>
      <w:pPr>
        <w:pStyle w:val="Heading1"/>
      </w:pPr>
      <w:r>
        <w:t>6. Save a model</w:t>
      </w:r>
    </w:p>
    <w:p>
      <w:r>
        <w:rPr>
          <w:b w:val="0"/>
          <w:i w:val="0"/>
        </w:rPr>
        <w:t>On the results, use 'Save a model' to bundle a trained model as a .cnqmodel file for reuse in Predict / Project or to share.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Bundle type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What it saves</w:t>
            </w:r>
          </w:p>
        </w:tc>
      </w:tr>
      <w:tr>
        <w:tc>
          <w:tcPr>
            <w:tcW w:type="dxa" w:w="4320"/>
          </w:tcPr>
          <w:p>
            <w:r>
              <w:t>Final model: refit on all data</w:t>
            </w:r>
          </w:p>
        </w:tc>
        <w:tc>
          <w:tcPr>
            <w:tcW w:type="dxa" w:w="4320"/>
          </w:tcPr>
          <w:p>
            <w:r>
              <w:t>Retrains the chosen model on every row (15% held out for early stopping). Usually the best choice.</w:t>
            </w:r>
          </w:p>
        </w:tc>
      </w:tr>
      <w:tr>
        <w:tc>
          <w:tcPr>
            <w:tcW w:type="dxa" w:w="4320"/>
          </w:tcPr>
          <w:p>
            <w:r>
              <w:t>Ensemble of the repeated-split models</w:t>
            </w:r>
          </w:p>
        </w:tc>
        <w:tc>
          <w:tcPr>
            <w:tcW w:type="dxa" w:w="4320"/>
          </w:tcPr>
          <w:p>
            <w:r>
              <w:t>Keeps every split's model and averages them (needs &gt;1 repeated split).</w:t>
            </w:r>
          </w:p>
        </w:tc>
      </w:tr>
      <w:tr>
        <w:tc>
          <w:tcPr>
            <w:tcW w:type="dxa" w:w="4320"/>
          </w:tcPr>
          <w:p>
            <w:r>
              <w:t>Single split</w:t>
            </w:r>
          </w:p>
        </w:tc>
        <w:tc>
          <w:tcPr>
            <w:tcW w:type="dxa" w:w="4320"/>
          </w:tcPr>
          <w:p>
            <w:r>
              <w:t>One split's model.</w:t>
            </w:r>
          </w:p>
        </w:tc>
      </w:tr>
    </w:tbl>
    <w:p/>
    <w:p>
      <w:r>
        <w:rPr>
          <w:b w:val="0"/>
          <w:i w:val="0"/>
        </w:rPr>
        <w:t>Only the most recent runs are kept on disk (the CNQ_KEEP_RUNS setting, default 20), so save any model you want to keep. A saved .cnqmodel is self-contained and isn't affected by that cleanup.</w:t>
      </w:r>
    </w:p>
    <w:p>
      <w:pPr>
        <w:pStyle w:val="Heading1"/>
      </w:pPr>
      <w:r>
        <w:t>7. Predict new subjects</w:t>
      </w:r>
    </w:p>
    <w:p>
      <w:pPr>
        <w:pStyle w:val="ListNumber"/>
      </w:pPr>
      <w:r>
        <w:t>On the Predict tab, choose a saved model (its summary is shown) or upload a .cnqmodel file.</w:t>
      </w:r>
    </w:p>
    <w:p>
      <w:pPr>
        <w:pStyle w:val="ListNumber"/>
      </w:pPr>
      <w:r>
        <w:t>Upload a CSV of the new subjects.</w:t>
      </w:r>
    </w:p>
    <w:p>
      <w:pPr>
        <w:pStyle w:val="ListNumber"/>
      </w:pPr>
      <w:r>
        <w:t>Map columns: a table lists each model feature with its training range and a dropdown of your file's columns. Columns are auto-matched by name; it shows 'N of M features matched'. If names differ, use 'Download template for this model', 'Match by position' (confirmed), or pick columns yourself (a likely one is marked 'suggested'). Optionally set a subject-ID column, and — only if your subjects have known outcomes — time and event columns for external validation.</w:t>
      </w:r>
    </w:p>
    <w:p>
      <w:pPr>
        <w:pStyle w:val="ListNumber"/>
      </w:pPr>
      <w:r>
        <w:t>Run. You get a predictions table and downloads: predictions CSV, an HTML report with plots, and a zip.</w:t>
      </w:r>
    </w:p>
    <w:p>
      <w:r>
        <w:rPr>
          <w:b w:val="0"/>
          <w:i w:val="0"/>
        </w:rPr>
        <w:t>The predictions CSV has, per subject: each quantile q_&lt;τ&gt;, the median, the 80% interval (low/high/width) and an out_of_range flag (1 if any feature is outside the training range — an extrapolation).</w:t>
      </w:r>
    </w:p>
    <w:p>
      <w:r>
        <w:rPr>
          <w:b w:val="0"/>
          <w:i w:val="0"/>
        </w:rPr>
        <w:t>External validation (optional): if you provided time and event columns, the report adds IPCW pinball, 50%/80% coverage, Uno C-index, per-τ calibration and an observed-vs-predicted survival plot, using a censoring estimate from the new data. Only meaningful on subjects the model was NOT trained on.</w:t>
      </w:r>
    </w:p>
    <w:p>
      <w:pPr>
        <w:pStyle w:val="Heading1"/>
      </w:pPr>
      <w:r>
        <w:t>8. Project population trends</w:t>
      </w:r>
    </w:p>
    <w:p>
      <w:r>
        <w:rPr>
          <w:b w:val="0"/>
          <w:i w:val="0"/>
        </w:rPr>
        <w:t>The Project tab answers aggregate questions instead of per-subject ones:</w:t>
      </w:r>
    </w:p>
    <w:p>
      <w:pPr>
        <w:pStyle w:val="ListBullet"/>
      </w:pPr>
      <w:r>
        <w:t>Events by a time: enter time points → expected cumulative events (with a band).</w:t>
      </w:r>
    </w:p>
    <w:p>
      <w:pPr>
        <w:pStyle w:val="ListBullet"/>
      </w:pPr>
      <w:r>
        <w:t>Time for a target: enter a number of events → the time by which they're expected (with a band).</w:t>
      </w:r>
    </w:p>
    <w:p>
      <w:r>
        <w:rPr>
          <w:b w:val="0"/>
          <w:i w:val="0"/>
        </w:rPr>
        <w:t>Pick a model, then choose a basis: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Basis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What it uses</w:t>
            </w:r>
          </w:p>
        </w:tc>
      </w:tr>
      <w:tr>
        <w:tc>
          <w:tcPr>
            <w:tcW w:type="dxa" w:w="4320"/>
          </w:tcPr>
          <w:p>
            <w:r>
              <w:t>Population size N (headline)</w:t>
            </w:r>
          </w:p>
        </w:tc>
        <w:tc>
          <w:tcPr>
            <w:tcW w:type="dxa" w:w="4320"/>
          </w:tcPr>
          <w:p>
            <w:r>
              <w:t>Scales the model's training-population Kaplan–Meier curve to N subjects. No cohort upload needed.</w:t>
            </w:r>
          </w:p>
        </w:tc>
      </w:tr>
      <w:tr>
        <w:tc>
          <w:tcPr>
            <w:tcW w:type="dxa" w:w="4320"/>
          </w:tcPr>
          <w:p>
            <w:r>
              <w:t>Upload a cohort</w:t>
            </w:r>
          </w:p>
        </w:tc>
        <w:tc>
          <w:tcPr>
            <w:tcW w:type="dxa" w:w="4320"/>
          </w:tcPr>
          <w:p>
            <w:r>
              <w:t>Uses the model on those subjects' covariates (same column-mapping table as Predict); adjusts the trend for a cohort whose mix differs from training.</w:t>
            </w:r>
          </w:p>
        </w:tc>
      </w:tr>
    </w:tbl>
    <w:p/>
    <w:p>
      <w:r>
        <w:rPr>
          <w:b w:val="0"/>
          <w:i w:val="0"/>
        </w:rPr>
        <w:t>You get a cumulative-events-over-time chart with a band, answers to your questions, and downloads. Projection is only shown up to the observed follow-up horizon (the last event time in training); a time — or a target — beyond that is flagged, not extrapolated. A dense quantile grid gives a smoother, further-reaching curve.</w:t>
      </w:r>
    </w:p>
    <w:p>
      <w:pPr>
        <w:pStyle w:val="Heading1"/>
      </w:pPr>
      <w:r>
        <w:t>9. The built-in demo</w:t>
      </w:r>
    </w:p>
    <w:p>
      <w:r>
        <w:rPr>
          <w:b w:val="0"/>
          <w:i w:val="0"/>
        </w:rPr>
        <w:t>Everything can be tried with simulated demo data, entirely in the browser:</w:t>
      </w:r>
    </w:p>
    <w:p>
      <w:pPr>
        <w:pStyle w:val="ListNumber"/>
      </w:pPr>
      <w:r>
        <w:t>Train tab → 'Use demo training data' → pick a model → Every 5% quantiles → Start training.</w:t>
      </w:r>
    </w:p>
    <w:p>
      <w:pPr>
        <w:pStyle w:val="ListNumber"/>
      </w:pPr>
      <w:r>
        <w:t>Predict tab → 'Demo model (simulated data)'. If it says 'not built yet', click 'Build demo model' once (about 2 minutes) — the data and model are created automatically.</w:t>
      </w:r>
    </w:p>
    <w:p>
      <w:pPr>
        <w:pStyle w:val="ListNumber"/>
      </w:pPr>
      <w:r>
        <w:t>'Or use demo new subjects' → 20 new patients → Run (note the two flagged out-of-range). Then 500 with outcomes (coverage near nominal) and 500 shifted population (calibration worsens — why you validate on your own data).</w:t>
      </w:r>
    </w:p>
    <w:p>
      <w:pPr>
        <w:pStyle w:val="ListNumber"/>
      </w:pPr>
      <w:r>
        <w:t>Project tab → pick the demo model → Population size N → enter time points or a target number of events.</w:t>
      </w:r>
    </w:p>
    <w:p>
      <w:pPr>
        <w:pStyle w:val="Heading1"/>
      </w:pPr>
      <w:r>
        <w:t>10. Interpreting predictions — and their limits</w:t>
      </w:r>
    </w:p>
    <w:p>
      <w:pPr>
        <w:pStyle w:val="ListBullet"/>
      </w:pPr>
      <w:r>
        <w:t>Between-subject spread, not model uncertainty: a subject's quantile interval describes how outcomes vary between similar subjects, not the model's own uncertainty about its parameters. Projection bands are aggregate outcome/sampling uncertainty (Poisson-binomial for a cohort, Greenwood for the population).</w:t>
      </w:r>
    </w:p>
    <w:p>
      <w:pPr>
        <w:pStyle w:val="ListBullet"/>
      </w:pPr>
      <w:r>
        <w:t>Population shift: predictions assume new subjects resemble the training population. A different hospital, era or inclusion criteria can make all predictions off — even in-range ones.</w:t>
      </w:r>
    </w:p>
    <w:p>
      <w:pPr>
        <w:pStyle w:val="ListBullet"/>
      </w:pPr>
      <w:r>
        <w:t>Out-of-range flags: a subject with a feature outside the training range is flagged; those predictions are extrapolations and less reliable.</w:t>
      </w:r>
    </w:p>
    <w:p>
      <w:pPr>
        <w:pStyle w:val="ListBullet"/>
      </w:pPr>
      <w:r>
        <w:t>External validation needs unseen data: outcome-based metrics are only meaningful on subjects the model was not trained on.</w:t>
      </w:r>
    </w:p>
    <w:p>
      <w:pPr>
        <w:pStyle w:val="ListBullet"/>
      </w:pPr>
      <w:r>
        <w:t>Projection follow-up limit: trends are supported only up to the last observed event time; beyond it (or for targets needing more events than occur within follow-up) results aren't shown — extrapolating the censored tail would need a parametric model.</w:t>
      </w:r>
    </w:p>
    <w:p>
      <w:pPr>
        <w:pStyle w:val="Heading1"/>
      </w:pPr>
      <w:r>
        <w:t>11. Troubleshooting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Problem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Fix</w:t>
            </w:r>
          </w:p>
        </w:tc>
      </w:tr>
      <w:tr>
        <w:tc>
          <w:tcPr>
            <w:tcW w:type="dxa" w:w="4320"/>
          </w:tcPr>
          <w:p>
            <w:r>
              <w:t>'Port 8000 is already in use'</w:t>
            </w:r>
          </w:p>
        </w:tc>
        <w:tc>
          <w:tcPr>
            <w:tcW w:type="dxa" w:w="4320"/>
          </w:tcPr>
          <w:p>
            <w:r>
              <w:t>Run `python run.py 8001` and open :8001 instead.</w:t>
            </w:r>
          </w:p>
        </w:tc>
      </w:tr>
      <w:tr>
        <w:tc>
          <w:tcPr>
            <w:tcW w:type="dxa" w:w="4320"/>
          </w:tcPr>
          <w:p>
            <w:r>
              <w:t>Red banner about missing packages</w:t>
            </w:r>
          </w:p>
        </w:tc>
        <w:tc>
          <w:tcPr>
            <w:tcW w:type="dxa" w:w="4320"/>
          </w:tcPr>
          <w:p>
            <w:r>
              <w:t>Check your internet, then `python run.py --reinstall`.</w:t>
            </w:r>
          </w:p>
        </w:tc>
      </w:tr>
      <w:tr>
        <w:tc>
          <w:tcPr>
            <w:tcW w:type="dxa" w:w="4320"/>
          </w:tcPr>
          <w:p>
            <w:r>
              <w:t>Banner: deepcnq repository not found</w:t>
            </w:r>
          </w:p>
        </w:tc>
        <w:tc>
          <w:tcPr>
            <w:tcW w:type="dxa" w:w="4320"/>
          </w:tcPr>
          <w:p>
            <w:r>
              <w:t>Put the deepcnq checkout next to the app (../deepcnq) or set CNQ_REPO; then reload.</w:t>
            </w:r>
          </w:p>
        </w:tc>
      </w:tr>
      <w:tr>
        <w:tc>
          <w:tcPr>
            <w:tcW w:type="dxa" w:w="4320"/>
          </w:tcPr>
          <w:p>
            <w:r>
              <w:t>'No Python at …'</w:t>
            </w:r>
          </w:p>
        </w:tc>
        <w:tc>
          <w:tcPr>
            <w:tcW w:type="dxa" w:w="4320"/>
          </w:tcPr>
          <w:p>
            <w:r>
              <w:t>Delete the .venv folder in cnq_app and run again — it rebuilds the environment.</w:t>
            </w:r>
          </w:p>
        </w:tc>
      </w:tr>
      <w:tr>
        <w:tc>
          <w:tcPr>
            <w:tcW w:type="dxa" w:w="4320"/>
          </w:tcPr>
          <w:p>
            <w:r>
              <w:t>Page looks plain / buttons do nothing</w:t>
            </w:r>
          </w:p>
        </w:tc>
        <w:tc>
          <w:tcPr>
            <w:tcW w:type="dxa" w:w="4320"/>
          </w:tcPr>
          <w:p>
            <w:r>
              <w:t>Use exactly http://127.0.0.1:8000/ and hard-refresh (Ctrl+Shift+R).</w:t>
            </w:r>
          </w:p>
        </w:tc>
      </w:tr>
      <w:tr>
        <w:tc>
          <w:tcPr>
            <w:tcW w:type="dxa" w:w="4320"/>
          </w:tcPr>
          <w:p>
            <w:r>
              <w:t>Demo model 'not built yet'</w:t>
            </w:r>
          </w:p>
        </w:tc>
        <w:tc>
          <w:tcPr>
            <w:tcW w:type="dxa" w:w="4320"/>
          </w:tcPr>
          <w:p>
            <w:r>
              <w:t>Click 'Build demo model' in the Predict tab (about 2 minutes).</w:t>
            </w:r>
          </w:p>
        </w:tc>
      </w:tr>
      <w:tr>
        <w:tc>
          <w:tcPr>
            <w:tcW w:type="dxa" w:w="4320"/>
          </w:tcPr>
          <w:p>
            <w:r>
              <w:t>Population projection unavailable</w:t>
            </w:r>
          </w:p>
        </w:tc>
        <w:tc>
          <w:tcPr>
            <w:tcW w:type="dxa" w:w="4320"/>
          </w:tcPr>
          <w:p>
            <w:r>
              <w:t>The model has no stored training curve; re-save (or rebuild) the model to enable it.</w:t>
            </w:r>
          </w:p>
        </w:tc>
      </w:tr>
      <w:tr>
        <w:tc>
          <w:tcPr>
            <w:tcW w:type="dxa" w:w="4320"/>
          </w:tcPr>
          <w:p>
            <w:r>
              <w:t>App inside OneDrive/iCloud/Dropbox misbehaves</w:t>
            </w:r>
          </w:p>
        </w:tc>
        <w:tc>
          <w:tcPr>
            <w:tcW w:type="dxa" w:w="4320"/>
          </w:tcPr>
          <w:p>
            <w:r>
              <w:t>Move it to a local, non-synced folder; cloud sync can lock the .venv.</w:t>
            </w:r>
          </w:p>
        </w:tc>
      </w:tr>
    </w:tbl>
    <w:p/>
    <w:p>
      <w:pPr>
        <w:pStyle w:val="Heading1"/>
      </w:pPr>
      <w:r>
        <w:t>12. Glossary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>
              <w:t>IPCW</w:t>
            </w:r>
          </w:p>
        </w:tc>
        <w:tc>
          <w:tcPr>
            <w:tcW w:type="dxa" w:w="4320"/>
          </w:tcPr>
          <w:p>
            <w:r>
              <w:t>Inverse-probability-of-censoring weighting — corrects metrics for censoring.</w:t>
            </w:r>
          </w:p>
        </w:tc>
      </w:tr>
      <w:tr>
        <w:tc>
          <w:tcPr>
            <w:tcW w:type="dxa" w:w="4320"/>
          </w:tcPr>
          <w:p>
            <w:r>
              <w:t>Pinball loss</w:t>
            </w:r>
          </w:p>
        </w:tc>
        <w:tc>
          <w:tcPr>
            <w:tcW w:type="dxa" w:w="4320"/>
          </w:tcPr>
          <w:p>
            <w:r>
              <w:t>The quantile-regression loss; lower means better-calibrated, sharper quantiles.</w:t>
            </w:r>
          </w:p>
        </w:tc>
      </w:tr>
      <w:tr>
        <w:tc>
          <w:tcPr>
            <w:tcW w:type="dxa" w:w="4320"/>
          </w:tcPr>
          <w:p>
            <w:r>
              <w:t>Kaplan–Meier (KM)</w:t>
            </w:r>
          </w:p>
        </w:tc>
        <w:tc>
          <w:tcPr>
            <w:tcW w:type="dxa" w:w="4320"/>
          </w:tcPr>
          <w:p>
            <w:r>
              <w:t>Non-parametric estimate of the survival curve from observed times/events.</w:t>
            </w:r>
          </w:p>
        </w:tc>
      </w:tr>
      <w:tr>
        <w:tc>
          <w:tcPr>
            <w:tcW w:type="dxa" w:w="4320"/>
          </w:tcPr>
          <w:p>
            <w:r>
              <w:t>Greenwood variance</w:t>
            </w:r>
          </w:p>
        </w:tc>
        <w:tc>
          <w:tcPr>
            <w:tcW w:type="dxa" w:w="4320"/>
          </w:tcPr>
          <w:p>
            <w:r>
              <w:t>Standard variance formula for the KM estimate; gives the population projection band.</w:t>
            </w:r>
          </w:p>
        </w:tc>
      </w:tr>
      <w:tr>
        <w:tc>
          <w:tcPr>
            <w:tcW w:type="dxa" w:w="4320"/>
          </w:tcPr>
          <w:p>
            <w:r>
              <w:t>Uno C-index</w:t>
            </w:r>
          </w:p>
        </w:tc>
        <w:tc>
          <w:tcPr>
            <w:tcW w:type="dxa" w:w="4320"/>
          </w:tcPr>
          <w:p>
            <w:r>
              <w:t>Censoring-adjusted concordance (ranking) measure.</w:t>
            </w:r>
          </w:p>
        </w:tc>
      </w:tr>
      <w:tr>
        <w:tc>
          <w:tcPr>
            <w:tcW w:type="dxa" w:w="4320"/>
          </w:tcPr>
          <w:p>
            <w:r>
              <w:t>ICP</w:t>
            </w:r>
          </w:p>
        </w:tc>
        <w:tc>
          <w:tcPr>
            <w:tcW w:type="dxa" w:w="4320"/>
          </w:tcPr>
          <w:p>
            <w:r>
              <w:t>Interval coverage probability — how often the truth falls in a predicted interval.</w:t>
            </w:r>
          </w:p>
        </w:tc>
      </w:tr>
      <w:tr>
        <w:tc>
          <w:tcPr>
            <w:tcW w:type="dxa" w:w="4320"/>
          </w:tcPr>
          <w:p>
            <w:r>
              <w:t>Horizon</w:t>
            </w:r>
          </w:p>
        </w:tc>
        <w:tc>
          <w:tcPr>
            <w:tcW w:type="dxa" w:w="4320"/>
          </w:tcPr>
          <w:p>
            <w:r>
              <w:t>The last observed event time; projection is supported up to here.</w:t>
            </w:r>
          </w:p>
        </w:tc>
      </w:tr>
      <w:tr>
        <w:tc>
          <w:tcPr>
            <w:tcW w:type="dxa" w:w="4320"/>
          </w:tcPr>
          <w:p>
            <w:r>
              <w:t>.cnqmodel</w:t>
            </w:r>
          </w:p>
        </w:tc>
        <w:tc>
          <w:tcPr>
            <w:tcW w:type="dxa" w:w="4320"/>
          </w:tcPr>
          <w:p>
            <w:r>
              <w:t>A self-contained saved model bundle (weights + metadata).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