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3213"/>
        <w:gridCol w:w="2300"/>
      </w:tblGrid>
      <w:tr w:rsidR="00000000" w14:paraId="01EB43AF" w14:textId="77777777">
        <w:tc>
          <w:tcPr>
            <w:tcW w:w="0" w:type="auto"/>
            <w:gridSpan w:val="2"/>
            <w:tcBorders>
              <w:top w:val="nil"/>
              <w:left w:val="nil"/>
              <w:bottom w:val="nil"/>
              <w:right w:val="nil"/>
            </w:tcBorders>
            <w:tcMar>
              <w:top w:w="0" w:type="dxa"/>
              <w:left w:w="0" w:type="dxa"/>
              <w:bottom w:w="0" w:type="dxa"/>
              <w:right w:w="0" w:type="dxa"/>
            </w:tcMar>
            <w:vAlign w:val="center"/>
            <w:hideMark/>
          </w:tcPr>
          <w:p w14:paraId="566BD585" w14:textId="77777777" w:rsidR="00000000" w:rsidRDefault="00475602">
            <w:pPr>
              <w:jc w:val="center"/>
              <w:rPr>
                <w:rFonts w:eastAsia="Times New Roman"/>
                <w:b/>
                <w:bCs/>
              </w:rPr>
            </w:pPr>
            <w:r>
              <w:rPr>
                <w:rFonts w:eastAsia="Times New Roman"/>
                <w:b/>
                <w:bCs/>
              </w:rPr>
              <w:t>Table 1: Parallel Trends Test of Hospitalization Rates</w:t>
            </w:r>
          </w:p>
        </w:tc>
      </w:tr>
      <w:tr w:rsidR="00000000" w14:paraId="736B4829" w14:textId="77777777">
        <w:tc>
          <w:tcPr>
            <w:tcW w:w="0" w:type="auto"/>
            <w:tcBorders>
              <w:bottom w:val="single" w:sz="6" w:space="0" w:color="000000"/>
            </w:tcBorders>
            <w:tcMar>
              <w:top w:w="0" w:type="dxa"/>
              <w:left w:w="0" w:type="dxa"/>
              <w:bottom w:w="0" w:type="dxa"/>
              <w:right w:w="0" w:type="dxa"/>
            </w:tcMar>
            <w:vAlign w:val="center"/>
            <w:hideMark/>
          </w:tcPr>
          <w:p w14:paraId="3990476C" w14:textId="77777777" w:rsidR="00000000" w:rsidRDefault="00475602">
            <w:pPr>
              <w:rPr>
                <w:rFonts w:eastAsia="Times New Roman"/>
                <w:b/>
                <w:bCs/>
              </w:rPr>
            </w:pPr>
            <w:r>
              <w:rPr>
                <w:rFonts w:eastAsia="Times New Roman"/>
                <w:b/>
                <w:bCs/>
              </w:rPr>
              <w:t> </w:t>
            </w:r>
          </w:p>
        </w:tc>
        <w:tc>
          <w:tcPr>
            <w:tcW w:w="0" w:type="auto"/>
            <w:tcBorders>
              <w:bottom w:val="single" w:sz="6" w:space="0" w:color="000000"/>
            </w:tcBorders>
            <w:tcMar>
              <w:top w:w="0" w:type="dxa"/>
              <w:left w:w="0" w:type="dxa"/>
              <w:bottom w:w="0" w:type="dxa"/>
              <w:right w:w="0" w:type="dxa"/>
            </w:tcMar>
            <w:vAlign w:val="center"/>
            <w:hideMark/>
          </w:tcPr>
          <w:p w14:paraId="6F10D293" w14:textId="77777777" w:rsidR="00000000" w:rsidRDefault="00475602">
            <w:pPr>
              <w:rPr>
                <w:rFonts w:eastAsia="Times New Roman"/>
                <w:b/>
                <w:bCs/>
              </w:rPr>
            </w:pPr>
          </w:p>
        </w:tc>
      </w:tr>
      <w:tr w:rsidR="00000000" w14:paraId="4481BBEA" w14:textId="77777777">
        <w:tc>
          <w:tcPr>
            <w:tcW w:w="0" w:type="auto"/>
            <w:tcBorders>
              <w:top w:val="double" w:sz="6" w:space="0" w:color="auto"/>
              <w:bottom w:val="single" w:sz="6" w:space="0" w:color="000000"/>
            </w:tcBorders>
            <w:tcMar>
              <w:top w:w="113" w:type="dxa"/>
              <w:left w:w="113" w:type="dxa"/>
              <w:bottom w:w="113" w:type="dxa"/>
              <w:right w:w="113" w:type="dxa"/>
            </w:tcMar>
            <w:vAlign w:val="center"/>
            <w:hideMark/>
          </w:tcPr>
          <w:p w14:paraId="75BC4959" w14:textId="77777777" w:rsidR="00000000" w:rsidRDefault="00475602">
            <w:pPr>
              <w:rPr>
                <w:rFonts w:eastAsia="Times New Roman"/>
                <w:b/>
                <w:bCs/>
              </w:rPr>
            </w:pPr>
            <w:r>
              <w:rPr>
                <w:rFonts w:eastAsia="Times New Roman"/>
                <w:b/>
                <w:bCs/>
              </w:rPr>
              <w:t>Variable</w:t>
            </w:r>
          </w:p>
        </w:tc>
        <w:tc>
          <w:tcPr>
            <w:tcW w:w="0" w:type="auto"/>
            <w:tcBorders>
              <w:top w:val="double" w:sz="6" w:space="0" w:color="auto"/>
              <w:bottom w:val="single" w:sz="6" w:space="0" w:color="000000"/>
            </w:tcBorders>
            <w:tcMar>
              <w:top w:w="113" w:type="dxa"/>
              <w:left w:w="113" w:type="dxa"/>
              <w:bottom w:w="113" w:type="dxa"/>
              <w:right w:w="113" w:type="dxa"/>
            </w:tcMar>
            <w:vAlign w:val="center"/>
            <w:hideMark/>
          </w:tcPr>
          <w:p w14:paraId="5356D04B" w14:textId="77777777" w:rsidR="00000000" w:rsidRDefault="00475602">
            <w:pPr>
              <w:jc w:val="center"/>
              <w:rPr>
                <w:rFonts w:eastAsia="Times New Roman"/>
                <w:b/>
                <w:bCs/>
              </w:rPr>
            </w:pPr>
            <w:r>
              <w:rPr>
                <w:rFonts w:eastAsia="Times New Roman"/>
                <w:b/>
                <w:bCs/>
              </w:rPr>
              <w:t>Estimates</w:t>
            </w:r>
          </w:p>
        </w:tc>
      </w:tr>
      <w:tr w:rsidR="00000000" w14:paraId="4B3FC766" w14:textId="77777777">
        <w:tc>
          <w:tcPr>
            <w:tcW w:w="0" w:type="auto"/>
            <w:tcMar>
              <w:top w:w="113" w:type="dxa"/>
              <w:left w:w="113" w:type="dxa"/>
              <w:bottom w:w="113" w:type="dxa"/>
              <w:right w:w="113" w:type="dxa"/>
            </w:tcMar>
            <w:hideMark/>
          </w:tcPr>
          <w:p w14:paraId="4012E4B6" w14:textId="77777777" w:rsidR="00000000" w:rsidRDefault="00475602">
            <w:pPr>
              <w:rPr>
                <w:rFonts w:eastAsia="Times New Roman"/>
              </w:rPr>
            </w:pPr>
            <w:r>
              <w:rPr>
                <w:rFonts w:eastAsia="Times New Roman"/>
              </w:rPr>
              <w:t>(Intercept)</w:t>
            </w:r>
          </w:p>
        </w:tc>
        <w:tc>
          <w:tcPr>
            <w:tcW w:w="0" w:type="auto"/>
            <w:tcMar>
              <w:top w:w="113" w:type="dxa"/>
              <w:left w:w="113" w:type="dxa"/>
              <w:bottom w:w="113" w:type="dxa"/>
              <w:right w:w="113" w:type="dxa"/>
            </w:tcMar>
            <w:hideMark/>
          </w:tcPr>
          <w:p w14:paraId="2FDCF8C1" w14:textId="77777777" w:rsidR="00000000" w:rsidRDefault="00475602">
            <w:pPr>
              <w:jc w:val="center"/>
              <w:rPr>
                <w:rFonts w:eastAsia="Times New Roman"/>
              </w:rPr>
            </w:pPr>
            <w:r>
              <w:rPr>
                <w:rFonts w:eastAsia="Times New Roman"/>
              </w:rPr>
              <w:t xml:space="preserve">22671.36 </w:t>
            </w:r>
            <w:r>
              <w:rPr>
                <w:rFonts w:eastAsia="Times New Roman"/>
              </w:rPr>
              <w:br/>
              <w:t>(33011.12)</w:t>
            </w:r>
          </w:p>
        </w:tc>
      </w:tr>
      <w:tr w:rsidR="00000000" w14:paraId="3334E456" w14:textId="77777777">
        <w:tc>
          <w:tcPr>
            <w:tcW w:w="0" w:type="auto"/>
            <w:tcMar>
              <w:top w:w="113" w:type="dxa"/>
              <w:left w:w="113" w:type="dxa"/>
              <w:bottom w:w="113" w:type="dxa"/>
              <w:right w:w="113" w:type="dxa"/>
            </w:tcMar>
            <w:hideMark/>
          </w:tcPr>
          <w:p w14:paraId="68D1723D" w14:textId="77777777" w:rsidR="00000000" w:rsidRDefault="00475602">
            <w:pPr>
              <w:rPr>
                <w:rFonts w:eastAsia="Times New Roman"/>
              </w:rPr>
            </w:pPr>
            <w:r>
              <w:rPr>
                <w:rFonts w:eastAsia="Times New Roman"/>
              </w:rPr>
              <w:t>Year</w:t>
            </w:r>
          </w:p>
        </w:tc>
        <w:tc>
          <w:tcPr>
            <w:tcW w:w="0" w:type="auto"/>
            <w:tcMar>
              <w:top w:w="113" w:type="dxa"/>
              <w:left w:w="113" w:type="dxa"/>
              <w:bottom w:w="113" w:type="dxa"/>
              <w:right w:w="113" w:type="dxa"/>
            </w:tcMar>
            <w:hideMark/>
          </w:tcPr>
          <w:p w14:paraId="4618745D" w14:textId="77777777" w:rsidR="00000000" w:rsidRDefault="00475602">
            <w:pPr>
              <w:jc w:val="center"/>
              <w:rPr>
                <w:rFonts w:eastAsia="Times New Roman"/>
              </w:rPr>
            </w:pPr>
            <w:r>
              <w:rPr>
                <w:rFonts w:eastAsia="Times New Roman"/>
              </w:rPr>
              <w:t xml:space="preserve">45.54 </w:t>
            </w:r>
            <w:r>
              <w:rPr>
                <w:rFonts w:eastAsia="Times New Roman"/>
                <w:vertAlign w:val="superscript"/>
              </w:rPr>
              <w:t>**</w:t>
            </w:r>
            <w:r>
              <w:rPr>
                <w:rFonts w:eastAsia="Times New Roman"/>
              </w:rPr>
              <w:br/>
              <w:t>(16.38)</w:t>
            </w:r>
          </w:p>
        </w:tc>
      </w:tr>
      <w:tr w:rsidR="00000000" w14:paraId="71C40694" w14:textId="77777777">
        <w:tc>
          <w:tcPr>
            <w:tcW w:w="0" w:type="auto"/>
            <w:tcMar>
              <w:top w:w="113" w:type="dxa"/>
              <w:left w:w="113" w:type="dxa"/>
              <w:bottom w:w="113" w:type="dxa"/>
              <w:right w:w="113" w:type="dxa"/>
            </w:tcMar>
            <w:hideMark/>
          </w:tcPr>
          <w:p w14:paraId="0F2874D6" w14:textId="77777777" w:rsidR="00000000" w:rsidRDefault="00475602">
            <w:pPr>
              <w:rPr>
                <w:rFonts w:eastAsia="Times New Roman"/>
              </w:rPr>
            </w:pPr>
            <w:r>
              <w:rPr>
                <w:rFonts w:eastAsia="Times New Roman"/>
              </w:rPr>
              <w:t>Vaping Ban</w:t>
            </w:r>
          </w:p>
        </w:tc>
        <w:tc>
          <w:tcPr>
            <w:tcW w:w="0" w:type="auto"/>
            <w:tcMar>
              <w:top w:w="113" w:type="dxa"/>
              <w:left w:w="113" w:type="dxa"/>
              <w:bottom w:w="113" w:type="dxa"/>
              <w:right w:w="113" w:type="dxa"/>
            </w:tcMar>
            <w:hideMark/>
          </w:tcPr>
          <w:p w14:paraId="1E16F50F" w14:textId="77777777" w:rsidR="00000000" w:rsidRDefault="00475602">
            <w:pPr>
              <w:jc w:val="center"/>
              <w:rPr>
                <w:rFonts w:eastAsia="Times New Roman"/>
              </w:rPr>
            </w:pPr>
            <w:r>
              <w:rPr>
                <w:rFonts w:eastAsia="Times New Roman"/>
              </w:rPr>
              <w:t xml:space="preserve">-14856.10 </w:t>
            </w:r>
            <w:r>
              <w:rPr>
                <w:rFonts w:eastAsia="Times New Roman"/>
              </w:rPr>
              <w:br/>
              <w:t>(48672.25)</w:t>
            </w:r>
          </w:p>
        </w:tc>
      </w:tr>
      <w:tr w:rsidR="00000000" w14:paraId="03260998" w14:textId="77777777">
        <w:tc>
          <w:tcPr>
            <w:tcW w:w="0" w:type="auto"/>
            <w:tcMar>
              <w:top w:w="113" w:type="dxa"/>
              <w:left w:w="113" w:type="dxa"/>
              <w:bottom w:w="113" w:type="dxa"/>
              <w:right w:w="113" w:type="dxa"/>
            </w:tcMar>
            <w:hideMark/>
          </w:tcPr>
          <w:p w14:paraId="083D5C92" w14:textId="77777777" w:rsidR="00000000" w:rsidRDefault="00475602">
            <w:pPr>
              <w:rPr>
                <w:rFonts w:eastAsia="Times New Roman"/>
              </w:rPr>
            </w:pPr>
            <w:r>
              <w:rPr>
                <w:rFonts w:eastAsia="Times New Roman"/>
              </w:rPr>
              <w:t>Year x Vaping Ban</w:t>
            </w:r>
          </w:p>
        </w:tc>
        <w:tc>
          <w:tcPr>
            <w:tcW w:w="0" w:type="auto"/>
            <w:tcMar>
              <w:top w:w="113" w:type="dxa"/>
              <w:left w:w="113" w:type="dxa"/>
              <w:bottom w:w="113" w:type="dxa"/>
              <w:right w:w="113" w:type="dxa"/>
            </w:tcMar>
            <w:hideMark/>
          </w:tcPr>
          <w:p w14:paraId="351509CF" w14:textId="77777777" w:rsidR="00000000" w:rsidRDefault="00475602">
            <w:pPr>
              <w:jc w:val="center"/>
              <w:rPr>
                <w:rFonts w:eastAsia="Times New Roman"/>
              </w:rPr>
            </w:pPr>
            <w:r>
              <w:rPr>
                <w:rFonts w:eastAsia="Times New Roman"/>
              </w:rPr>
              <w:t xml:space="preserve">6.16 </w:t>
            </w:r>
            <w:r>
              <w:rPr>
                <w:rFonts w:eastAsia="Times New Roman"/>
              </w:rPr>
              <w:br/>
              <w:t>(24.15)</w:t>
            </w:r>
          </w:p>
        </w:tc>
      </w:tr>
      <w:tr w:rsidR="00000000" w14:paraId="52173F39" w14:textId="77777777">
        <w:tc>
          <w:tcPr>
            <w:tcW w:w="0" w:type="auto"/>
            <w:tcBorders>
              <w:top w:val="single" w:sz="6" w:space="0" w:color="auto"/>
            </w:tcBorders>
            <w:tcMar>
              <w:top w:w="57" w:type="dxa"/>
              <w:left w:w="113" w:type="dxa"/>
              <w:bottom w:w="57" w:type="dxa"/>
              <w:right w:w="113" w:type="dxa"/>
            </w:tcMar>
            <w:hideMark/>
          </w:tcPr>
          <w:p w14:paraId="654AB2F4" w14:textId="77777777" w:rsidR="00000000" w:rsidRDefault="00475602">
            <w:pPr>
              <w:rPr>
                <w:rFonts w:eastAsia="Times New Roman"/>
              </w:rPr>
            </w:pPr>
            <w:r>
              <w:rPr>
                <w:rFonts w:eastAsia="Times New Roman"/>
              </w:rPr>
              <w:t>Observations</w:t>
            </w:r>
          </w:p>
        </w:tc>
        <w:tc>
          <w:tcPr>
            <w:tcW w:w="0" w:type="auto"/>
            <w:tcBorders>
              <w:top w:val="single" w:sz="6" w:space="0" w:color="auto"/>
            </w:tcBorders>
            <w:tcMar>
              <w:top w:w="57" w:type="dxa"/>
              <w:left w:w="113" w:type="dxa"/>
              <w:bottom w:w="57" w:type="dxa"/>
              <w:right w:w="113" w:type="dxa"/>
            </w:tcMar>
            <w:hideMark/>
          </w:tcPr>
          <w:p w14:paraId="7DC03752" w14:textId="77777777" w:rsidR="00000000" w:rsidRDefault="00475602">
            <w:pPr>
              <w:jc w:val="center"/>
              <w:rPr>
                <w:rFonts w:eastAsia="Times New Roman"/>
              </w:rPr>
            </w:pPr>
            <w:r>
              <w:rPr>
                <w:rFonts w:eastAsia="Times New Roman"/>
              </w:rPr>
              <w:t>550</w:t>
            </w:r>
          </w:p>
        </w:tc>
      </w:tr>
      <w:tr w:rsidR="00000000" w14:paraId="427AB8BB" w14:textId="77777777">
        <w:tc>
          <w:tcPr>
            <w:tcW w:w="0" w:type="auto"/>
            <w:tcMar>
              <w:top w:w="57" w:type="dxa"/>
              <w:left w:w="113" w:type="dxa"/>
              <w:bottom w:w="57" w:type="dxa"/>
              <w:right w:w="113" w:type="dxa"/>
            </w:tcMar>
            <w:hideMark/>
          </w:tcPr>
          <w:p w14:paraId="60E1400D" w14:textId="77777777" w:rsidR="00000000" w:rsidRDefault="00475602">
            <w:pPr>
              <w:rPr>
                <w:rFonts w:eastAsia="Times New Roman"/>
              </w:rPr>
            </w:pPr>
            <w:r>
              <w:rPr>
                <w:rFonts w:eastAsia="Times New Roman"/>
              </w:rPr>
              <w:t>R</w:t>
            </w:r>
            <w:r>
              <w:rPr>
                <w:rFonts w:eastAsia="Times New Roman"/>
                <w:vertAlign w:val="superscript"/>
              </w:rPr>
              <w:t>2</w:t>
            </w:r>
            <w:r>
              <w:rPr>
                <w:rFonts w:eastAsia="Times New Roman"/>
              </w:rPr>
              <w:t xml:space="preserve"> / R</w:t>
            </w:r>
            <w:r>
              <w:rPr>
                <w:rFonts w:eastAsia="Times New Roman"/>
                <w:vertAlign w:val="superscript"/>
              </w:rPr>
              <w:t>2</w:t>
            </w:r>
            <w:r>
              <w:rPr>
                <w:rFonts w:eastAsia="Times New Roman"/>
              </w:rPr>
              <w:t xml:space="preserve"> adjusted</w:t>
            </w:r>
          </w:p>
        </w:tc>
        <w:tc>
          <w:tcPr>
            <w:tcW w:w="0" w:type="auto"/>
            <w:tcMar>
              <w:top w:w="57" w:type="dxa"/>
              <w:left w:w="113" w:type="dxa"/>
              <w:bottom w:w="57" w:type="dxa"/>
              <w:right w:w="113" w:type="dxa"/>
            </w:tcMar>
            <w:hideMark/>
          </w:tcPr>
          <w:p w14:paraId="3C632477" w14:textId="77777777" w:rsidR="00000000" w:rsidRDefault="00475602">
            <w:pPr>
              <w:jc w:val="center"/>
              <w:rPr>
                <w:rFonts w:eastAsia="Times New Roman"/>
              </w:rPr>
            </w:pPr>
            <w:r>
              <w:rPr>
                <w:rFonts w:eastAsia="Times New Roman"/>
              </w:rPr>
              <w:t>0.654 / 0.652</w:t>
            </w:r>
          </w:p>
        </w:tc>
      </w:tr>
      <w:tr w:rsidR="00000000" w14:paraId="1CB4EB19" w14:textId="77777777">
        <w:tc>
          <w:tcPr>
            <w:tcW w:w="0" w:type="auto"/>
            <w:gridSpan w:val="2"/>
            <w:tcBorders>
              <w:top w:val="double" w:sz="6" w:space="0" w:color="000000"/>
            </w:tcBorders>
            <w:vAlign w:val="center"/>
            <w:hideMark/>
          </w:tcPr>
          <w:p w14:paraId="790DAD0E" w14:textId="77777777" w:rsidR="00000000" w:rsidRDefault="00475602">
            <w:pPr>
              <w:jc w:val="right"/>
              <w:rPr>
                <w:rFonts w:eastAsia="Times New Roman"/>
                <w:i/>
                <w:iCs/>
              </w:rPr>
            </w:pPr>
            <w:r>
              <w:rPr>
                <w:rFonts w:eastAsia="Times New Roman"/>
                <w:i/>
                <w:iCs/>
              </w:rPr>
              <w:t>* p&lt;0.05   ** p&lt;0.01   *** p&lt;0.001</w:t>
            </w:r>
          </w:p>
        </w:tc>
      </w:tr>
    </w:tbl>
    <w:p w14:paraId="63ABDF0B" w14:textId="58D2AE50" w:rsidR="00000000" w:rsidRDefault="002A07F4">
      <w:pPr>
        <w:rPr>
          <w:rFonts w:eastAsia="Times New Roman"/>
        </w:rPr>
      </w:pPr>
      <w:r>
        <w:rPr>
          <w:rFonts w:eastAsia="Times New Roman"/>
          <w:b/>
          <w:bCs/>
        </w:rPr>
        <w:t>Note</w:t>
      </w:r>
      <w:r w:rsidR="005B72E5">
        <w:rPr>
          <w:rFonts w:eastAsia="Times New Roman"/>
          <w:b/>
          <w:bCs/>
        </w:rPr>
        <w:t>s</w:t>
      </w:r>
      <w:r>
        <w:rPr>
          <w:rFonts w:eastAsia="Times New Roman"/>
        </w:rPr>
        <w:t xml:space="preserve">. This table is a regression testing the trends of hospitalization rates before 2021, the year vaping bans were enacted, between states that enacted vaping bans and states that did not enact vaping bans. </w:t>
      </w:r>
      <w:r w:rsidR="005B72E5">
        <w:rPr>
          <w:rFonts w:eastAsia="Times New Roman"/>
        </w:rPr>
        <w:t>Standard OLS standard errors are reported.</w:t>
      </w:r>
    </w:p>
    <w:p w14:paraId="0C50E7DE" w14:textId="16DBED9E" w:rsidR="005B72E5" w:rsidRDefault="005B72E5">
      <w:pPr>
        <w:rPr>
          <w:rFonts w:eastAsia="Times New Roman"/>
        </w:rPr>
      </w:pPr>
    </w:p>
    <w:p w14:paraId="0E378232" w14:textId="150A9638" w:rsidR="005B72E5" w:rsidRDefault="005B72E5">
      <w:pPr>
        <w:rPr>
          <w:rFonts w:eastAsia="Times New Roman"/>
        </w:rPr>
      </w:pPr>
      <w:r>
        <w:rPr>
          <w:rFonts w:eastAsia="Times New Roman"/>
        </w:rPr>
        <w:t xml:space="preserve">There was no significant difference in hospitalization rates between states that enacted the vaping ban and states that did not enact the vaping ban in the years leading up to the vaping bans, </w:t>
      </w:r>
      <w:proofErr w:type="gramStart"/>
      <w:r>
        <w:rPr>
          <w:rFonts w:eastAsia="Times New Roman"/>
        </w:rPr>
        <w:t>F(</w:t>
      </w:r>
      <w:proofErr w:type="gramEnd"/>
      <w:r>
        <w:rPr>
          <w:rFonts w:eastAsia="Times New Roman"/>
        </w:rPr>
        <w:t xml:space="preserve">3, 546) = 6.16, </w:t>
      </w:r>
      <w:r>
        <w:rPr>
          <w:rFonts w:eastAsia="Times New Roman"/>
          <w:i/>
          <w:iCs/>
        </w:rPr>
        <w:t>p</w:t>
      </w:r>
      <w:r>
        <w:rPr>
          <w:rFonts w:eastAsia="Times New Roman"/>
        </w:rPr>
        <w:t xml:space="preserve"> = .79.</w:t>
      </w:r>
    </w:p>
    <w:p w14:paraId="5231A33B" w14:textId="554FF3D0" w:rsidR="005B72E5" w:rsidRDefault="005B72E5">
      <w:pPr>
        <w:rPr>
          <w:rFonts w:eastAsia="Times New Roman"/>
        </w:rPr>
      </w:pPr>
    </w:p>
    <w:p w14:paraId="4E9DE50F" w14:textId="77777777" w:rsidR="005B72E5" w:rsidRDefault="005B72E5">
      <w:pPr>
        <w:rPr>
          <w:rFonts w:eastAsia="Times New Roman"/>
        </w:rPr>
      </w:pPr>
    </w:p>
    <w:p w14:paraId="5325F822" w14:textId="77777777" w:rsidR="005B72E5" w:rsidRDefault="005B72E5">
      <w:pPr>
        <w:rPr>
          <w:rFonts w:eastAsia="Times New Roman"/>
        </w:rPr>
      </w:pPr>
    </w:p>
    <w:p w14:paraId="74F699C1" w14:textId="33756572" w:rsidR="005B72E5" w:rsidRDefault="005B72E5">
      <w:pPr>
        <w:rPr>
          <w:rFonts w:eastAsia="Times New Roman"/>
        </w:rPr>
      </w:pPr>
    </w:p>
    <w:p w14:paraId="39C18248" w14:textId="4FAFE304" w:rsidR="005B72E5" w:rsidRDefault="005B72E5">
      <w:pPr>
        <w:rPr>
          <w:rFonts w:eastAsia="Times New Roman"/>
        </w:rPr>
      </w:pPr>
    </w:p>
    <w:p w14:paraId="29A4E8A5" w14:textId="367DD3C4" w:rsidR="005B72E5" w:rsidRDefault="005B72E5">
      <w:pPr>
        <w:rPr>
          <w:rFonts w:eastAsia="Times New Roman"/>
        </w:rPr>
      </w:pPr>
    </w:p>
    <w:p w14:paraId="1431C72B" w14:textId="54B2829A" w:rsidR="005B72E5" w:rsidRDefault="005B72E5">
      <w:pPr>
        <w:rPr>
          <w:rFonts w:eastAsia="Times New Roman"/>
        </w:rPr>
      </w:pPr>
    </w:p>
    <w:p w14:paraId="5F4940CF" w14:textId="18483080" w:rsidR="005B72E5" w:rsidRDefault="005B72E5">
      <w:pPr>
        <w:rPr>
          <w:rFonts w:eastAsia="Times New Roman"/>
        </w:rPr>
      </w:pPr>
    </w:p>
    <w:p w14:paraId="2479562C" w14:textId="5DEBAE40" w:rsidR="005B72E5" w:rsidRDefault="005B72E5">
      <w:pPr>
        <w:rPr>
          <w:rFonts w:eastAsia="Times New Roman"/>
        </w:rPr>
      </w:pPr>
    </w:p>
    <w:p w14:paraId="3588A60A" w14:textId="5656B0D6" w:rsidR="005B72E5" w:rsidRDefault="005B72E5">
      <w:pPr>
        <w:rPr>
          <w:rFonts w:eastAsia="Times New Roman"/>
        </w:rPr>
      </w:pPr>
    </w:p>
    <w:p w14:paraId="56CAEE76" w14:textId="422B1436" w:rsidR="005B72E5" w:rsidRDefault="005B72E5">
      <w:pPr>
        <w:rPr>
          <w:rFonts w:eastAsia="Times New Roman"/>
        </w:rPr>
      </w:pPr>
    </w:p>
    <w:p w14:paraId="09B33250" w14:textId="3A9DE09C" w:rsidR="005B72E5" w:rsidRDefault="005B72E5">
      <w:pPr>
        <w:rPr>
          <w:rFonts w:eastAsia="Times New Roman"/>
        </w:rPr>
      </w:pPr>
    </w:p>
    <w:p w14:paraId="55BE8754" w14:textId="095A865F" w:rsidR="005B72E5" w:rsidRDefault="005B72E5">
      <w:pPr>
        <w:rPr>
          <w:rFonts w:eastAsia="Times New Roman"/>
        </w:rPr>
      </w:pPr>
    </w:p>
    <w:p w14:paraId="70E1B0B8" w14:textId="1D456441" w:rsidR="005B72E5" w:rsidRDefault="005B72E5">
      <w:pPr>
        <w:rPr>
          <w:rFonts w:eastAsia="Times New Roman"/>
        </w:rPr>
      </w:pPr>
    </w:p>
    <w:p w14:paraId="0A23CA30" w14:textId="1A104C3C" w:rsidR="005B72E5" w:rsidRDefault="005B72E5">
      <w:pPr>
        <w:rPr>
          <w:rFonts w:eastAsia="Times New Roman"/>
        </w:rPr>
      </w:pPr>
    </w:p>
    <w:p w14:paraId="7E49677E" w14:textId="61145AD6" w:rsidR="005B72E5" w:rsidRDefault="005B72E5">
      <w:pPr>
        <w:rPr>
          <w:rFonts w:eastAsia="Times New Roman"/>
        </w:rPr>
      </w:pPr>
    </w:p>
    <w:p w14:paraId="64EDAC91" w14:textId="0D0214F0" w:rsidR="005B72E5" w:rsidRDefault="005B72E5">
      <w:pPr>
        <w:rPr>
          <w:rFonts w:eastAsia="Times New Roman"/>
        </w:rPr>
      </w:pPr>
    </w:p>
    <w:p w14:paraId="23EA01FF" w14:textId="635B6010" w:rsidR="005B72E5" w:rsidRDefault="005B72E5">
      <w:pPr>
        <w:rPr>
          <w:rFonts w:eastAsia="Times New Roman"/>
        </w:rPr>
      </w:pPr>
    </w:p>
    <w:p w14:paraId="43812A24" w14:textId="4D3A893C" w:rsidR="005B72E5" w:rsidRDefault="005B72E5">
      <w:pPr>
        <w:rPr>
          <w:rFonts w:eastAsia="Times New Roman"/>
        </w:rPr>
      </w:pPr>
    </w:p>
    <w:p w14:paraId="3D53F07D" w14:textId="583DD056" w:rsidR="005B72E5" w:rsidRDefault="005B72E5">
      <w:pPr>
        <w:rPr>
          <w:rFonts w:eastAsia="Times New Roman"/>
        </w:rPr>
      </w:pPr>
    </w:p>
    <w:p w14:paraId="566E66C8" w14:textId="2028CC26" w:rsidR="005B72E5" w:rsidRPr="005B72E5" w:rsidRDefault="005B72E5">
      <w:pPr>
        <w:rPr>
          <w:rFonts w:eastAsia="Times New Roman"/>
        </w:rPr>
      </w:pPr>
      <w:r>
        <w:rPr>
          <w:rFonts w:eastAsia="Times New Roman"/>
          <w:b/>
          <w:bCs/>
        </w:rPr>
        <w:lastRenderedPageBreak/>
        <w:t>Figure 1.</w:t>
      </w:r>
      <w:r>
        <w:rPr>
          <w:rFonts w:eastAsia="Times New Roman"/>
        </w:rPr>
        <w:t xml:space="preserve"> Difference in Difference Graph</w:t>
      </w:r>
    </w:p>
    <w:p w14:paraId="7749432F" w14:textId="582C91C3" w:rsidR="005B72E5" w:rsidRDefault="005B72E5">
      <w:pPr>
        <w:rPr>
          <w:rFonts w:eastAsia="Times New Roman"/>
        </w:rPr>
      </w:pPr>
      <w:r>
        <w:rPr>
          <w:rFonts w:eastAsia="Times New Roman"/>
          <w:noProof/>
        </w:rPr>
        <w:drawing>
          <wp:inline distT="0" distB="0" distL="0" distR="0" wp14:anchorId="2589888B" wp14:editId="75ADA34E">
            <wp:extent cx="5943600" cy="4697730"/>
            <wp:effectExtent l="0" t="0" r="0" b="127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697730"/>
                    </a:xfrm>
                    <a:prstGeom prst="rect">
                      <a:avLst/>
                    </a:prstGeom>
                  </pic:spPr>
                </pic:pic>
              </a:graphicData>
            </a:graphic>
          </wp:inline>
        </w:drawing>
      </w:r>
    </w:p>
    <w:p w14:paraId="40E0DC60" w14:textId="01EFEE18" w:rsidR="005B72E5" w:rsidRDefault="005B72E5">
      <w:pPr>
        <w:rPr>
          <w:rFonts w:eastAsia="Times New Roman"/>
        </w:rPr>
      </w:pPr>
      <w:r>
        <w:rPr>
          <w:rFonts w:eastAsia="Times New Roman"/>
          <w:b/>
          <w:bCs/>
        </w:rPr>
        <w:t xml:space="preserve">Notes. </w:t>
      </w:r>
      <w:r>
        <w:rPr>
          <w:rFonts w:eastAsia="Times New Roman"/>
        </w:rPr>
        <w:t>This figure shows the hospitalization rates across states that enacted vaping bans and did not enact vaping bans before and after vaping bans were put in place.</w:t>
      </w:r>
    </w:p>
    <w:p w14:paraId="6C8DB84D" w14:textId="3CE82332" w:rsidR="005B72E5" w:rsidRDefault="005B72E5">
      <w:pPr>
        <w:rPr>
          <w:rFonts w:eastAsia="Times New Roman"/>
        </w:rPr>
      </w:pPr>
    </w:p>
    <w:p w14:paraId="309AF84D" w14:textId="44347239" w:rsidR="005B72E5" w:rsidRDefault="005B72E5">
      <w:pPr>
        <w:rPr>
          <w:rFonts w:eastAsia="Times New Roman"/>
        </w:rPr>
      </w:pPr>
    </w:p>
    <w:p w14:paraId="2B0EBCCA" w14:textId="6F6D612E" w:rsidR="005B72E5" w:rsidRDefault="005B72E5">
      <w:pPr>
        <w:rPr>
          <w:rFonts w:eastAsia="Times New Roman"/>
        </w:rPr>
      </w:pPr>
    </w:p>
    <w:p w14:paraId="52360CB5" w14:textId="7E926446" w:rsidR="005B72E5" w:rsidRDefault="005B72E5">
      <w:pPr>
        <w:rPr>
          <w:rFonts w:eastAsia="Times New Roman"/>
        </w:rPr>
      </w:pPr>
    </w:p>
    <w:p w14:paraId="511DE08B" w14:textId="023C0BF1" w:rsidR="005B72E5" w:rsidRDefault="005B72E5">
      <w:pPr>
        <w:rPr>
          <w:rFonts w:eastAsia="Times New Roman"/>
        </w:rPr>
      </w:pPr>
    </w:p>
    <w:p w14:paraId="54A2CF0D" w14:textId="04EE0FE7" w:rsidR="005B72E5" w:rsidRDefault="005B72E5">
      <w:pPr>
        <w:rPr>
          <w:rFonts w:eastAsia="Times New Roman"/>
        </w:rPr>
      </w:pPr>
    </w:p>
    <w:p w14:paraId="3BE4C3CB" w14:textId="52382966" w:rsidR="005B72E5" w:rsidRDefault="005B72E5">
      <w:pPr>
        <w:rPr>
          <w:rFonts w:eastAsia="Times New Roman"/>
        </w:rPr>
      </w:pPr>
    </w:p>
    <w:p w14:paraId="4F99020C" w14:textId="3BF077F4" w:rsidR="005B72E5" w:rsidRDefault="005B72E5">
      <w:pPr>
        <w:rPr>
          <w:rFonts w:eastAsia="Times New Roman"/>
        </w:rPr>
      </w:pPr>
    </w:p>
    <w:p w14:paraId="13368D35" w14:textId="2ED3DB42" w:rsidR="005B72E5" w:rsidRDefault="005B72E5">
      <w:pPr>
        <w:rPr>
          <w:rFonts w:eastAsia="Times New Roman"/>
        </w:rPr>
      </w:pPr>
    </w:p>
    <w:p w14:paraId="108F44E0" w14:textId="63520D4E" w:rsidR="005B72E5" w:rsidRDefault="005B72E5">
      <w:pPr>
        <w:rPr>
          <w:rFonts w:eastAsia="Times New Roman"/>
        </w:rPr>
      </w:pPr>
    </w:p>
    <w:p w14:paraId="5DD5518F" w14:textId="5BA6CE30" w:rsidR="005B72E5" w:rsidRDefault="005B72E5">
      <w:pPr>
        <w:rPr>
          <w:rFonts w:eastAsia="Times New Roman"/>
        </w:rPr>
      </w:pPr>
    </w:p>
    <w:p w14:paraId="2940EF37" w14:textId="3B25DA69" w:rsidR="005B72E5" w:rsidRDefault="005B72E5">
      <w:pPr>
        <w:rPr>
          <w:rFonts w:eastAsia="Times New Roman"/>
        </w:rPr>
      </w:pPr>
    </w:p>
    <w:p w14:paraId="3638C849" w14:textId="3B685FB4" w:rsidR="005B72E5" w:rsidRDefault="005B72E5">
      <w:pPr>
        <w:rPr>
          <w:rFonts w:eastAsia="Times New Roman"/>
        </w:rPr>
      </w:pPr>
    </w:p>
    <w:p w14:paraId="2E2C454C" w14:textId="736B4455" w:rsidR="005B72E5" w:rsidRDefault="005B72E5">
      <w:pPr>
        <w:rPr>
          <w:rFonts w:eastAsia="Times New Roman"/>
        </w:rPr>
      </w:pPr>
    </w:p>
    <w:p w14:paraId="752954E8" w14:textId="4DAB3500" w:rsidR="005B72E5" w:rsidRDefault="005B72E5">
      <w:pPr>
        <w:rPr>
          <w:rFonts w:eastAsia="Times New Roman"/>
        </w:rPr>
      </w:pPr>
    </w:p>
    <w:p w14:paraId="3C1D306B" w14:textId="77777777" w:rsidR="005B72E5" w:rsidRDefault="005B72E5">
      <w:pPr>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121"/>
        <w:gridCol w:w="1870"/>
        <w:gridCol w:w="1870"/>
      </w:tblGrid>
      <w:tr w:rsidR="005B72E5" w14:paraId="1A3A5123" w14:textId="77777777" w:rsidTr="005B72E5">
        <w:tc>
          <w:tcPr>
            <w:tcW w:w="0" w:type="auto"/>
            <w:gridSpan w:val="3"/>
            <w:tcBorders>
              <w:top w:val="nil"/>
              <w:left w:val="nil"/>
              <w:bottom w:val="nil"/>
              <w:right w:val="nil"/>
            </w:tcBorders>
            <w:tcMar>
              <w:top w:w="113" w:type="dxa"/>
              <w:left w:w="113" w:type="dxa"/>
              <w:bottom w:w="113" w:type="dxa"/>
              <w:right w:w="113" w:type="dxa"/>
            </w:tcMar>
            <w:vAlign w:val="center"/>
            <w:hideMark/>
          </w:tcPr>
          <w:p w14:paraId="6BFB13FA" w14:textId="77777777" w:rsidR="005B72E5" w:rsidRDefault="005B72E5" w:rsidP="006A2877">
            <w:pPr>
              <w:jc w:val="center"/>
              <w:rPr>
                <w:rFonts w:eastAsia="Times New Roman"/>
                <w:b/>
                <w:bCs/>
              </w:rPr>
            </w:pPr>
            <w:r>
              <w:rPr>
                <w:rFonts w:eastAsia="Times New Roman"/>
                <w:b/>
                <w:bCs/>
              </w:rPr>
              <w:lastRenderedPageBreak/>
              <w:t xml:space="preserve">Table </w:t>
            </w:r>
            <w:proofErr w:type="gramStart"/>
            <w:r>
              <w:rPr>
                <w:rFonts w:eastAsia="Times New Roman"/>
                <w:b/>
                <w:bCs/>
              </w:rPr>
              <w:t>2:Effect</w:t>
            </w:r>
            <w:proofErr w:type="gramEnd"/>
            <w:r>
              <w:rPr>
                <w:rFonts w:eastAsia="Times New Roman"/>
                <w:b/>
                <w:bCs/>
              </w:rPr>
              <w:t xml:space="preserve"> of Vaping Ban on Lung Hospitalizations</w:t>
            </w:r>
          </w:p>
        </w:tc>
      </w:tr>
      <w:tr w:rsidR="005B72E5" w14:paraId="68CB1854" w14:textId="77777777" w:rsidTr="005B72E5">
        <w:tc>
          <w:tcPr>
            <w:tcW w:w="0" w:type="auto"/>
            <w:tcBorders>
              <w:bottom w:val="single" w:sz="6" w:space="0" w:color="000000"/>
            </w:tcBorders>
            <w:tcMar>
              <w:top w:w="113" w:type="dxa"/>
              <w:left w:w="113" w:type="dxa"/>
              <w:bottom w:w="113" w:type="dxa"/>
              <w:right w:w="113" w:type="dxa"/>
            </w:tcMar>
            <w:vAlign w:val="center"/>
            <w:hideMark/>
          </w:tcPr>
          <w:p w14:paraId="4A47742C" w14:textId="77777777" w:rsidR="005B72E5" w:rsidRDefault="005B72E5" w:rsidP="006A2877">
            <w:pPr>
              <w:rPr>
                <w:rFonts w:eastAsia="Times New Roman"/>
                <w:b/>
                <w:bCs/>
              </w:rPr>
            </w:pPr>
            <w:r>
              <w:rPr>
                <w:rFonts w:eastAsia="Times New Roman"/>
                <w:b/>
                <w:bCs/>
              </w:rPr>
              <w:t> </w:t>
            </w:r>
          </w:p>
        </w:tc>
        <w:tc>
          <w:tcPr>
            <w:tcW w:w="0" w:type="auto"/>
            <w:tcBorders>
              <w:bottom w:val="single" w:sz="6" w:space="0" w:color="000000"/>
            </w:tcBorders>
            <w:tcMar>
              <w:top w:w="113" w:type="dxa"/>
              <w:left w:w="113" w:type="dxa"/>
              <w:bottom w:w="113" w:type="dxa"/>
              <w:right w:w="113" w:type="dxa"/>
            </w:tcMar>
            <w:vAlign w:val="center"/>
            <w:hideMark/>
          </w:tcPr>
          <w:p w14:paraId="32408843" w14:textId="77777777" w:rsidR="005B72E5" w:rsidRDefault="005B72E5" w:rsidP="006A2877">
            <w:pPr>
              <w:jc w:val="center"/>
              <w:rPr>
                <w:rFonts w:eastAsia="Times New Roman"/>
                <w:b/>
                <w:bCs/>
              </w:rPr>
            </w:pPr>
            <w:r>
              <w:rPr>
                <w:rFonts w:eastAsia="Times New Roman"/>
                <w:b/>
                <w:bCs/>
              </w:rPr>
              <w:t>Model 1</w:t>
            </w:r>
          </w:p>
        </w:tc>
        <w:tc>
          <w:tcPr>
            <w:tcW w:w="0" w:type="auto"/>
            <w:tcBorders>
              <w:bottom w:val="single" w:sz="6" w:space="0" w:color="000000"/>
            </w:tcBorders>
            <w:tcMar>
              <w:top w:w="113" w:type="dxa"/>
              <w:left w:w="113" w:type="dxa"/>
              <w:bottom w:w="113" w:type="dxa"/>
              <w:right w:w="113" w:type="dxa"/>
            </w:tcMar>
            <w:vAlign w:val="center"/>
            <w:hideMark/>
          </w:tcPr>
          <w:p w14:paraId="70B848BB" w14:textId="77777777" w:rsidR="005B72E5" w:rsidRDefault="005B72E5" w:rsidP="006A2877">
            <w:pPr>
              <w:jc w:val="center"/>
              <w:rPr>
                <w:rFonts w:eastAsia="Times New Roman"/>
                <w:b/>
                <w:bCs/>
              </w:rPr>
            </w:pPr>
            <w:r>
              <w:rPr>
                <w:rFonts w:eastAsia="Times New Roman"/>
                <w:b/>
                <w:bCs/>
              </w:rPr>
              <w:t>Model 2</w:t>
            </w:r>
          </w:p>
        </w:tc>
      </w:tr>
      <w:tr w:rsidR="005B72E5" w14:paraId="02D03DE6" w14:textId="77777777" w:rsidTr="005B72E5">
        <w:tc>
          <w:tcPr>
            <w:tcW w:w="0" w:type="auto"/>
            <w:tcBorders>
              <w:top w:val="double" w:sz="6" w:space="0" w:color="auto"/>
              <w:bottom w:val="single" w:sz="6" w:space="0" w:color="000000"/>
            </w:tcBorders>
            <w:tcMar>
              <w:top w:w="113" w:type="dxa"/>
              <w:left w:w="113" w:type="dxa"/>
              <w:bottom w:w="113" w:type="dxa"/>
              <w:right w:w="113" w:type="dxa"/>
            </w:tcMar>
            <w:vAlign w:val="center"/>
            <w:hideMark/>
          </w:tcPr>
          <w:p w14:paraId="52714C05" w14:textId="77777777" w:rsidR="005B72E5" w:rsidRDefault="005B72E5" w:rsidP="006A2877">
            <w:pPr>
              <w:rPr>
                <w:rFonts w:eastAsia="Times New Roman"/>
                <w:b/>
                <w:bCs/>
              </w:rPr>
            </w:pPr>
            <w:r>
              <w:rPr>
                <w:rFonts w:eastAsia="Times New Roman"/>
                <w:b/>
                <w:bCs/>
              </w:rPr>
              <w:t>Variable</w:t>
            </w:r>
          </w:p>
        </w:tc>
        <w:tc>
          <w:tcPr>
            <w:tcW w:w="0" w:type="auto"/>
            <w:tcBorders>
              <w:top w:val="double" w:sz="6" w:space="0" w:color="auto"/>
              <w:bottom w:val="single" w:sz="6" w:space="0" w:color="000000"/>
            </w:tcBorders>
            <w:tcMar>
              <w:top w:w="113" w:type="dxa"/>
              <w:left w:w="113" w:type="dxa"/>
              <w:bottom w:w="113" w:type="dxa"/>
              <w:right w:w="113" w:type="dxa"/>
            </w:tcMar>
            <w:vAlign w:val="center"/>
            <w:hideMark/>
          </w:tcPr>
          <w:p w14:paraId="5F7E3F2B" w14:textId="77777777" w:rsidR="005B72E5" w:rsidRDefault="005B72E5" w:rsidP="006A2877">
            <w:pPr>
              <w:jc w:val="center"/>
              <w:rPr>
                <w:rFonts w:eastAsia="Times New Roman"/>
                <w:b/>
                <w:bCs/>
              </w:rPr>
            </w:pPr>
            <w:r>
              <w:rPr>
                <w:rFonts w:eastAsia="Times New Roman"/>
                <w:b/>
                <w:bCs/>
              </w:rPr>
              <w:t>Estimates</w:t>
            </w:r>
          </w:p>
        </w:tc>
        <w:tc>
          <w:tcPr>
            <w:tcW w:w="0" w:type="auto"/>
            <w:tcBorders>
              <w:top w:val="double" w:sz="6" w:space="0" w:color="auto"/>
              <w:bottom w:val="single" w:sz="6" w:space="0" w:color="000000"/>
            </w:tcBorders>
            <w:tcMar>
              <w:top w:w="113" w:type="dxa"/>
              <w:left w:w="113" w:type="dxa"/>
              <w:bottom w:w="113" w:type="dxa"/>
              <w:right w:w="113" w:type="dxa"/>
            </w:tcMar>
            <w:vAlign w:val="center"/>
            <w:hideMark/>
          </w:tcPr>
          <w:p w14:paraId="094A4F48" w14:textId="77777777" w:rsidR="005B72E5" w:rsidRDefault="005B72E5" w:rsidP="006A2877">
            <w:pPr>
              <w:jc w:val="center"/>
              <w:rPr>
                <w:rFonts w:eastAsia="Times New Roman"/>
                <w:b/>
                <w:bCs/>
              </w:rPr>
            </w:pPr>
            <w:r>
              <w:rPr>
                <w:rFonts w:eastAsia="Times New Roman"/>
                <w:b/>
                <w:bCs/>
              </w:rPr>
              <w:t>Estimates</w:t>
            </w:r>
          </w:p>
        </w:tc>
      </w:tr>
      <w:tr w:rsidR="005B72E5" w14:paraId="5DC435B4" w14:textId="77777777" w:rsidTr="005B72E5">
        <w:tc>
          <w:tcPr>
            <w:tcW w:w="0" w:type="auto"/>
            <w:tcMar>
              <w:top w:w="113" w:type="dxa"/>
              <w:left w:w="113" w:type="dxa"/>
              <w:bottom w:w="113" w:type="dxa"/>
              <w:right w:w="113" w:type="dxa"/>
            </w:tcMar>
            <w:hideMark/>
          </w:tcPr>
          <w:p w14:paraId="09E351A3" w14:textId="77777777" w:rsidR="005B72E5" w:rsidRDefault="005B72E5" w:rsidP="006A2877">
            <w:pPr>
              <w:rPr>
                <w:rFonts w:eastAsia="Times New Roman"/>
              </w:rPr>
            </w:pPr>
            <w:r>
              <w:rPr>
                <w:rFonts w:eastAsia="Times New Roman"/>
              </w:rPr>
              <w:t>(Intercept)</w:t>
            </w:r>
          </w:p>
        </w:tc>
        <w:tc>
          <w:tcPr>
            <w:tcW w:w="0" w:type="auto"/>
            <w:tcMar>
              <w:top w:w="113" w:type="dxa"/>
              <w:left w:w="113" w:type="dxa"/>
              <w:bottom w:w="113" w:type="dxa"/>
              <w:right w:w="113" w:type="dxa"/>
            </w:tcMar>
            <w:hideMark/>
          </w:tcPr>
          <w:p w14:paraId="70BF8CB7" w14:textId="77777777" w:rsidR="005B72E5" w:rsidRDefault="005B72E5" w:rsidP="006A2877">
            <w:pPr>
              <w:jc w:val="center"/>
              <w:rPr>
                <w:rFonts w:eastAsia="Times New Roman"/>
              </w:rPr>
            </w:pPr>
            <w:r>
              <w:rPr>
                <w:rFonts w:eastAsia="Times New Roman"/>
              </w:rPr>
              <w:t xml:space="preserve">113860.23 </w:t>
            </w:r>
            <w:r>
              <w:rPr>
                <w:rFonts w:eastAsia="Times New Roman"/>
                <w:vertAlign w:val="superscript"/>
              </w:rPr>
              <w:t>***</w:t>
            </w:r>
            <w:r>
              <w:rPr>
                <w:rFonts w:eastAsia="Times New Roman"/>
              </w:rPr>
              <w:br/>
              <w:t>(50.49)</w:t>
            </w:r>
          </w:p>
        </w:tc>
        <w:tc>
          <w:tcPr>
            <w:tcW w:w="0" w:type="auto"/>
            <w:tcMar>
              <w:top w:w="113" w:type="dxa"/>
              <w:left w:w="113" w:type="dxa"/>
              <w:bottom w:w="113" w:type="dxa"/>
              <w:right w:w="113" w:type="dxa"/>
            </w:tcMar>
            <w:hideMark/>
          </w:tcPr>
          <w:p w14:paraId="7F8649A5" w14:textId="77777777" w:rsidR="005B72E5" w:rsidRDefault="005B72E5" w:rsidP="006A2877">
            <w:pPr>
              <w:jc w:val="center"/>
              <w:rPr>
                <w:rFonts w:eastAsia="Times New Roman"/>
              </w:rPr>
            </w:pPr>
            <w:r>
              <w:rPr>
                <w:rFonts w:eastAsia="Times New Roman"/>
              </w:rPr>
              <w:t xml:space="preserve">110787.44 </w:t>
            </w:r>
            <w:r>
              <w:rPr>
                <w:rFonts w:eastAsia="Times New Roman"/>
                <w:vertAlign w:val="superscript"/>
              </w:rPr>
              <w:t>***</w:t>
            </w:r>
            <w:r>
              <w:rPr>
                <w:rFonts w:eastAsia="Times New Roman"/>
              </w:rPr>
              <w:br/>
              <w:t>(137.20)</w:t>
            </w:r>
          </w:p>
        </w:tc>
      </w:tr>
      <w:tr w:rsidR="005B72E5" w14:paraId="52360E9D" w14:textId="77777777" w:rsidTr="005B72E5">
        <w:tc>
          <w:tcPr>
            <w:tcW w:w="0" w:type="auto"/>
            <w:tcMar>
              <w:top w:w="113" w:type="dxa"/>
              <w:left w:w="113" w:type="dxa"/>
              <w:bottom w:w="113" w:type="dxa"/>
              <w:right w:w="113" w:type="dxa"/>
            </w:tcMar>
            <w:hideMark/>
          </w:tcPr>
          <w:p w14:paraId="4B4D107C" w14:textId="77777777" w:rsidR="005B72E5" w:rsidRDefault="005B72E5" w:rsidP="006A2877">
            <w:pPr>
              <w:rPr>
                <w:rFonts w:eastAsia="Times New Roman"/>
              </w:rPr>
            </w:pPr>
            <w:r>
              <w:rPr>
                <w:rFonts w:eastAsia="Times New Roman"/>
              </w:rPr>
              <w:t>Vaping Ban</w:t>
            </w:r>
          </w:p>
        </w:tc>
        <w:tc>
          <w:tcPr>
            <w:tcW w:w="0" w:type="auto"/>
            <w:tcMar>
              <w:top w:w="113" w:type="dxa"/>
              <w:left w:w="113" w:type="dxa"/>
              <w:bottom w:w="113" w:type="dxa"/>
              <w:right w:w="113" w:type="dxa"/>
            </w:tcMar>
            <w:hideMark/>
          </w:tcPr>
          <w:p w14:paraId="667E3392" w14:textId="77777777" w:rsidR="005B72E5" w:rsidRDefault="005B72E5" w:rsidP="006A2877">
            <w:pPr>
              <w:jc w:val="center"/>
              <w:rPr>
                <w:rFonts w:eastAsia="Times New Roman"/>
              </w:rPr>
            </w:pPr>
            <w:r>
              <w:rPr>
                <w:rFonts w:eastAsia="Times New Roman"/>
              </w:rPr>
              <w:t xml:space="preserve">-5364.88 </w:t>
            </w:r>
            <w:r>
              <w:rPr>
                <w:rFonts w:eastAsia="Times New Roman"/>
                <w:vertAlign w:val="superscript"/>
              </w:rPr>
              <w:t>***</w:t>
            </w:r>
            <w:r>
              <w:rPr>
                <w:rFonts w:eastAsia="Times New Roman"/>
              </w:rPr>
              <w:br/>
              <w:t>(107.87)</w:t>
            </w:r>
          </w:p>
        </w:tc>
        <w:tc>
          <w:tcPr>
            <w:tcW w:w="0" w:type="auto"/>
            <w:tcMar>
              <w:top w:w="113" w:type="dxa"/>
              <w:left w:w="113" w:type="dxa"/>
              <w:bottom w:w="113" w:type="dxa"/>
              <w:right w:w="113" w:type="dxa"/>
            </w:tcMar>
            <w:hideMark/>
          </w:tcPr>
          <w:p w14:paraId="128D4FAB" w14:textId="77777777" w:rsidR="005B72E5" w:rsidRDefault="005B72E5" w:rsidP="006A2877">
            <w:pPr>
              <w:jc w:val="center"/>
              <w:rPr>
                <w:rFonts w:eastAsia="Times New Roman"/>
              </w:rPr>
            </w:pPr>
            <w:r>
              <w:rPr>
                <w:rFonts w:eastAsia="Times New Roman"/>
              </w:rPr>
              <w:t xml:space="preserve">-4030.46 </w:t>
            </w:r>
            <w:r>
              <w:rPr>
                <w:rFonts w:eastAsia="Times New Roman"/>
                <w:vertAlign w:val="superscript"/>
              </w:rPr>
              <w:t>***</w:t>
            </w:r>
            <w:r>
              <w:rPr>
                <w:rFonts w:eastAsia="Times New Roman"/>
              </w:rPr>
              <w:br/>
              <w:t>(65.38)</w:t>
            </w:r>
          </w:p>
        </w:tc>
      </w:tr>
      <w:tr w:rsidR="005B72E5" w14:paraId="37F14517" w14:textId="77777777" w:rsidTr="005B72E5">
        <w:tc>
          <w:tcPr>
            <w:tcW w:w="0" w:type="auto"/>
            <w:tcBorders>
              <w:top w:val="single" w:sz="6" w:space="0" w:color="auto"/>
            </w:tcBorders>
            <w:tcMar>
              <w:top w:w="57" w:type="dxa"/>
              <w:left w:w="113" w:type="dxa"/>
              <w:bottom w:w="57" w:type="dxa"/>
              <w:right w:w="113" w:type="dxa"/>
            </w:tcMar>
            <w:hideMark/>
          </w:tcPr>
          <w:p w14:paraId="7EDB7F6A" w14:textId="77777777" w:rsidR="005B72E5" w:rsidRDefault="005B72E5" w:rsidP="006A2877">
            <w:pPr>
              <w:rPr>
                <w:rFonts w:eastAsia="Times New Roman"/>
              </w:rPr>
            </w:pPr>
            <w:r>
              <w:rPr>
                <w:rFonts w:eastAsia="Times New Roman"/>
              </w:rPr>
              <w:t>Observations</w:t>
            </w:r>
          </w:p>
        </w:tc>
        <w:tc>
          <w:tcPr>
            <w:tcW w:w="0" w:type="auto"/>
            <w:tcBorders>
              <w:top w:val="single" w:sz="6" w:space="0" w:color="auto"/>
            </w:tcBorders>
            <w:tcMar>
              <w:top w:w="57" w:type="dxa"/>
              <w:left w:w="113" w:type="dxa"/>
              <w:bottom w:w="57" w:type="dxa"/>
              <w:right w:w="113" w:type="dxa"/>
            </w:tcMar>
            <w:hideMark/>
          </w:tcPr>
          <w:p w14:paraId="45B3F24E" w14:textId="77777777" w:rsidR="005B72E5" w:rsidRDefault="005B72E5" w:rsidP="006A2877">
            <w:pPr>
              <w:jc w:val="center"/>
              <w:rPr>
                <w:rFonts w:eastAsia="Times New Roman"/>
              </w:rPr>
            </w:pPr>
            <w:r>
              <w:rPr>
                <w:rFonts w:eastAsia="Times New Roman"/>
              </w:rPr>
              <w:t>1050</w:t>
            </w:r>
          </w:p>
        </w:tc>
        <w:tc>
          <w:tcPr>
            <w:tcW w:w="0" w:type="auto"/>
            <w:tcBorders>
              <w:top w:val="single" w:sz="6" w:space="0" w:color="auto"/>
            </w:tcBorders>
            <w:tcMar>
              <w:top w:w="57" w:type="dxa"/>
              <w:left w:w="113" w:type="dxa"/>
              <w:bottom w:w="57" w:type="dxa"/>
              <w:right w:w="113" w:type="dxa"/>
            </w:tcMar>
            <w:hideMark/>
          </w:tcPr>
          <w:p w14:paraId="23636A49" w14:textId="77777777" w:rsidR="005B72E5" w:rsidRDefault="005B72E5" w:rsidP="006A2877">
            <w:pPr>
              <w:jc w:val="center"/>
              <w:rPr>
                <w:rFonts w:eastAsia="Times New Roman"/>
              </w:rPr>
            </w:pPr>
            <w:r>
              <w:rPr>
                <w:rFonts w:eastAsia="Times New Roman"/>
              </w:rPr>
              <w:t>1050</w:t>
            </w:r>
          </w:p>
        </w:tc>
      </w:tr>
      <w:tr w:rsidR="005B72E5" w14:paraId="389B0F04" w14:textId="77777777" w:rsidTr="005B72E5">
        <w:tc>
          <w:tcPr>
            <w:tcW w:w="0" w:type="auto"/>
            <w:tcMar>
              <w:top w:w="57" w:type="dxa"/>
              <w:left w:w="113" w:type="dxa"/>
              <w:bottom w:w="57" w:type="dxa"/>
              <w:right w:w="113" w:type="dxa"/>
            </w:tcMar>
            <w:hideMark/>
          </w:tcPr>
          <w:p w14:paraId="3DF463A4" w14:textId="77777777" w:rsidR="005B72E5" w:rsidRDefault="005B72E5" w:rsidP="006A2877">
            <w:pPr>
              <w:rPr>
                <w:rFonts w:eastAsia="Times New Roman"/>
              </w:rPr>
            </w:pPr>
            <w:r>
              <w:rPr>
                <w:rFonts w:eastAsia="Times New Roman"/>
              </w:rPr>
              <w:t>R</w:t>
            </w:r>
            <w:r>
              <w:rPr>
                <w:rFonts w:eastAsia="Times New Roman"/>
                <w:vertAlign w:val="superscript"/>
              </w:rPr>
              <w:t>2</w:t>
            </w:r>
            <w:r>
              <w:rPr>
                <w:rFonts w:eastAsia="Times New Roman"/>
              </w:rPr>
              <w:t xml:space="preserve"> / R</w:t>
            </w:r>
            <w:r>
              <w:rPr>
                <w:rFonts w:eastAsia="Times New Roman"/>
                <w:vertAlign w:val="superscript"/>
              </w:rPr>
              <w:t>2</w:t>
            </w:r>
            <w:r>
              <w:rPr>
                <w:rFonts w:eastAsia="Times New Roman"/>
              </w:rPr>
              <w:t xml:space="preserve"> adjusted</w:t>
            </w:r>
          </w:p>
        </w:tc>
        <w:tc>
          <w:tcPr>
            <w:tcW w:w="0" w:type="auto"/>
            <w:tcMar>
              <w:top w:w="57" w:type="dxa"/>
              <w:left w:w="113" w:type="dxa"/>
              <w:bottom w:w="57" w:type="dxa"/>
              <w:right w:w="113" w:type="dxa"/>
            </w:tcMar>
            <w:hideMark/>
          </w:tcPr>
          <w:p w14:paraId="639F4DB6" w14:textId="77777777" w:rsidR="005B72E5" w:rsidRDefault="005B72E5" w:rsidP="006A2877">
            <w:pPr>
              <w:jc w:val="center"/>
              <w:rPr>
                <w:rFonts w:eastAsia="Times New Roman"/>
              </w:rPr>
            </w:pPr>
            <w:r>
              <w:rPr>
                <w:rFonts w:eastAsia="Times New Roman"/>
              </w:rPr>
              <w:t>0.702 / 0.702</w:t>
            </w:r>
          </w:p>
        </w:tc>
        <w:tc>
          <w:tcPr>
            <w:tcW w:w="0" w:type="auto"/>
            <w:tcMar>
              <w:top w:w="57" w:type="dxa"/>
              <w:left w:w="113" w:type="dxa"/>
              <w:bottom w:w="57" w:type="dxa"/>
              <w:right w:w="113" w:type="dxa"/>
            </w:tcMar>
            <w:hideMark/>
          </w:tcPr>
          <w:p w14:paraId="717535BA" w14:textId="77777777" w:rsidR="005B72E5" w:rsidRDefault="005B72E5" w:rsidP="006A2877">
            <w:pPr>
              <w:jc w:val="center"/>
              <w:rPr>
                <w:rFonts w:eastAsia="Times New Roman"/>
              </w:rPr>
            </w:pPr>
            <w:r>
              <w:rPr>
                <w:rFonts w:eastAsia="Times New Roman"/>
              </w:rPr>
              <w:t>0.963 / 0.960</w:t>
            </w:r>
          </w:p>
        </w:tc>
      </w:tr>
      <w:tr w:rsidR="005B72E5" w14:paraId="09632DFE" w14:textId="77777777" w:rsidTr="005B72E5">
        <w:tc>
          <w:tcPr>
            <w:tcW w:w="0" w:type="auto"/>
            <w:gridSpan w:val="3"/>
            <w:tcBorders>
              <w:top w:val="double" w:sz="6" w:space="0" w:color="000000"/>
            </w:tcBorders>
            <w:vAlign w:val="center"/>
            <w:hideMark/>
          </w:tcPr>
          <w:p w14:paraId="2F9BDC67" w14:textId="77777777" w:rsidR="005B72E5" w:rsidRDefault="005B72E5" w:rsidP="006A2877">
            <w:pPr>
              <w:jc w:val="right"/>
              <w:rPr>
                <w:rFonts w:eastAsia="Times New Roman"/>
                <w:i/>
                <w:iCs/>
              </w:rPr>
            </w:pPr>
            <w:r>
              <w:rPr>
                <w:rFonts w:eastAsia="Times New Roman"/>
                <w:i/>
                <w:iCs/>
              </w:rPr>
              <w:t>* p&lt;0.05   ** p&lt;0.01   *** p&lt;0.001</w:t>
            </w:r>
          </w:p>
        </w:tc>
      </w:tr>
    </w:tbl>
    <w:p w14:paraId="3A806DA5" w14:textId="5C90DF7A" w:rsidR="005B72E5" w:rsidRDefault="005B72E5">
      <w:pPr>
        <w:rPr>
          <w:rFonts w:eastAsia="Times New Roman"/>
        </w:rPr>
      </w:pPr>
      <w:r>
        <w:rPr>
          <w:rFonts w:eastAsia="Times New Roman"/>
          <w:b/>
          <w:bCs/>
        </w:rPr>
        <w:t>Notes</w:t>
      </w:r>
      <w:r>
        <w:rPr>
          <w:rFonts w:eastAsia="Times New Roman"/>
        </w:rPr>
        <w:t>. Model 1 is the regression of vaping bans predicting hospitalization rates. Model 2 includes fixed effects</w:t>
      </w:r>
      <w:r w:rsidR="005A4A90">
        <w:rPr>
          <w:rFonts w:eastAsia="Times New Roman"/>
        </w:rPr>
        <w:t xml:space="preserve"> of year and state. Standard OLS standard errors are reported.</w:t>
      </w:r>
    </w:p>
    <w:p w14:paraId="20ED73DE" w14:textId="5082CB43" w:rsidR="005A4A90" w:rsidRDefault="005A4A90">
      <w:pPr>
        <w:rPr>
          <w:rFonts w:eastAsia="Times New Roman"/>
        </w:rPr>
      </w:pPr>
    </w:p>
    <w:p w14:paraId="44BCAB59" w14:textId="72EDC163" w:rsidR="005A4A90" w:rsidRPr="005B72E5" w:rsidRDefault="005A4A90">
      <w:pPr>
        <w:rPr>
          <w:rFonts w:eastAsia="Times New Roman"/>
        </w:rPr>
      </w:pPr>
      <w:r>
        <w:rPr>
          <w:rFonts w:eastAsia="Times New Roman"/>
        </w:rPr>
        <w:t>Hospitalizations decreased by 4030.46 cases</w:t>
      </w:r>
      <w:r w:rsidR="00475602">
        <w:rPr>
          <w:rFonts w:eastAsia="Times New Roman"/>
        </w:rPr>
        <w:t xml:space="preserve"> on average</w:t>
      </w:r>
      <w:r>
        <w:rPr>
          <w:rFonts w:eastAsia="Times New Roman"/>
        </w:rPr>
        <w:t xml:space="preserve"> in states that enacted vaping bans starting in the year 2021.</w:t>
      </w:r>
    </w:p>
    <w:sectPr w:rsidR="005A4A90" w:rsidRPr="005B7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07F4"/>
    <w:rsid w:val="002A07F4"/>
    <w:rsid w:val="00475602"/>
    <w:rsid w:val="005A4A90"/>
    <w:rsid w:val="005B7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FA61D79"/>
  <w15:chartTrackingRefBased/>
  <w15:docId w15:val="{A2BCD73F-55D7-1845-836A-CF81F495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Raymundo, Isaac</dc:creator>
  <cp:keywords/>
  <dc:description/>
  <cp:lastModifiedBy>Raymundo, Isaac</cp:lastModifiedBy>
  <cp:revision>3</cp:revision>
  <cp:lastPrinted>2021-11-06T17:24:00Z</cp:lastPrinted>
  <dcterms:created xsi:type="dcterms:W3CDTF">2021-11-06T17:24:00Z</dcterms:created>
  <dcterms:modified xsi:type="dcterms:W3CDTF">2021-11-06T17:24:00Z</dcterms:modified>
</cp:coreProperties>
</file>