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u8hn451zyn5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COMPONENTES DE UNA APLICACIÓN ANDROID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Activity</w:t>
      </w:r>
      <w:r w:rsidDel="00000000" w:rsidR="00000000" w:rsidRPr="00000000">
        <w:rPr>
          <w:rFonts w:ascii="Cardo" w:cs="Cardo" w:eastAsia="Cardo" w:hAnsi="Cardo"/>
          <w:rtl w:val="0"/>
        </w:rPr>
        <w:t xml:space="preserve"> = Pantalla → Hay una principal que es la primera que sale, y 0 o muchas pantallas secundarias, se relacionan con su archivo XML.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crea un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ActivityPrincipal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un layout principal asociados entre sí.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Service</w:t>
      </w:r>
      <w:r w:rsidDel="00000000" w:rsidR="00000000" w:rsidRPr="00000000">
        <w:rPr>
          <w:rFonts w:ascii="Cardo" w:cs="Cardo" w:eastAsia="Cardo" w:hAnsi="Cardo"/>
          <w:rtl w:val="0"/>
        </w:rPr>
        <w:t xml:space="preserve"> →Ejecuta tareas en segundo plano sin interfaz.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Content Provider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Conjunto de datos para compartirlos, es decir, para compartir datos de una aplicación con otra.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BroadCastReceiver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Detector de mensajes.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Aparte de los 4 componentes básicos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existe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archivo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llamado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Manifest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que es un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archivo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y lo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tiene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sobre 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proyecto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aplicación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estamos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creando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Tiene el nombre de los activity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señalándose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este cuál es la principal. También se encuentran los permisos, el nombre de la aplicación…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proyecto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hay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indicar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sdk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mínimo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utilizar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aplicación.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Recursos variados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rtl w:val="0"/>
        </w:rPr>
        <w:t xml:space="preserve">que puede tener la aplicación → Fotos de fondo, videos, documentos de texto…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Carpeta res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Van a ir todos los recursos ordenados por su tipo, estarán: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drawable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la que irán todos los dibujos,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la que irán los archivos de tipo layout como el layout principal (las activity),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animator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(color.xml, dimens.xml, estilo),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xml, raw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Acceso a los recursos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→Todos los recursos tienen su propio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su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dirección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(dónde se encuentra para poder acceder a ellos). El @ es para acceder al recurso que quiera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Elementos gŕaficos (archivo layout.xml) </w:t>
      </w:r>
      <w:r w:rsidDel="00000000" w:rsidR="00000000" w:rsidRPr="00000000">
        <w:rPr>
          <w:rFonts w:ascii="Cardo" w:cs="Cardo" w:eastAsia="Cardo" w:hAnsi="Cardo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Textview 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que aparezca una cadena de carácteres.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Ejemplo de nomenclatura: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android: id= “@ + id / texto”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android: width = “match_parent”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android: height = “wrap_content”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Opciones →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match_parent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 queda fijo el tamaño que le asigne) 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wrap_content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(adapta el tamaño del contenido al texto).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android: text = “@string / titulo” → Es lo que sale por defecto la primera vez que se ejecuta la aplicación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Permite la introducción y edición de texto por parte del usuario.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android: background = “@color / colorPrimario”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style = “@style /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estiloTítulo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