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pageBreakBefore w:val="0"/>
        <w:spacing w:before="200" w:lineRule="auto"/>
        <w:jc w:val="left"/>
        <w:rPr>
          <w:sz w:val="22"/>
          <w:szCs w:val="22"/>
        </w:rPr>
      </w:pPr>
      <w:r w:rsidDel="00000000" w:rsidR="00000000" w:rsidRPr="00000000">
        <w:rPr>
          <w:rtl w:val="0"/>
        </w:rPr>
      </w:r>
    </w:p>
    <w:tbl>
      <w:tblPr>
        <w:tblStyle w:val="Table1"/>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960"/>
        <w:tblGridChange w:id="0">
          <w:tblGrid>
            <w:gridCol w:w="2670"/>
            <w:gridCol w:w="696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02">
            <w:pPr>
              <w:pStyle w:val="Heading2"/>
              <w:keepNext w:val="0"/>
              <w:keepLines w:val="0"/>
              <w:pageBreakBefore w:val="0"/>
              <w:spacing w:line="480" w:lineRule="auto"/>
              <w:rPr/>
            </w:pPr>
            <w:bookmarkStart w:colFirst="0" w:colLast="0" w:name="_8aypxj7orbbm" w:id="0"/>
            <w:bookmarkEnd w:id="0"/>
            <w:r w:rsidDel="00000000" w:rsidR="00000000" w:rsidRPr="00000000">
              <w:rPr>
                <w:rtl w:val="0"/>
              </w:rPr>
              <w:t xml:space="preserve">Tarea 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3">
            <w:pPr>
              <w:pStyle w:val="Heading2"/>
              <w:pageBreakBefore w:val="0"/>
              <w:widowControl w:val="0"/>
              <w:spacing w:before="200" w:lineRule="auto"/>
              <w:jc w:val="both"/>
              <w:rPr/>
            </w:pPr>
            <w:bookmarkStart w:colFirst="0" w:colLast="0" w:name="_yi15jqymhahi" w:id="1"/>
            <w:bookmarkEnd w:id="1"/>
            <w:r w:rsidDel="00000000" w:rsidR="00000000" w:rsidRPr="00000000">
              <w:rPr>
                <w:rtl w:val="0"/>
              </w:rPr>
              <w:t xml:space="preserve">Describir un modelo de negocio y los subsistemas funcionales del mismo.</w:t>
            </w:r>
          </w:p>
          <w:p w:rsidR="00000000" w:rsidDel="00000000" w:rsidP="00000000" w:rsidRDefault="00000000" w:rsidRPr="00000000" w14:paraId="00000004">
            <w:pPr>
              <w:pageBreakBefore w:val="0"/>
              <w:widowControl w:val="0"/>
              <w:spacing w:before="200" w:lineRule="auto"/>
              <w:rPr>
                <w:sz w:val="20"/>
                <w:szCs w:val="20"/>
              </w:rPr>
            </w:pPr>
            <w:r w:rsidDel="00000000" w:rsidR="00000000" w:rsidRPr="00000000">
              <w:rPr>
                <w:sz w:val="20"/>
                <w:szCs w:val="20"/>
                <w:rtl w:val="0"/>
              </w:rPr>
              <w:t xml:space="preserve">De forma individual, definir un modelo de negocio y describir los subsistemas funcionales del mismo</w:t>
            </w:r>
            <w:r w:rsidDel="00000000" w:rsidR="00000000" w:rsidRPr="00000000">
              <w:rPr>
                <w:sz w:val="22"/>
                <w:szCs w:val="22"/>
                <w:rtl w:val="0"/>
              </w:rPr>
              <w:t xml:space="preserve">.</w:t>
            </w: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5">
            <w:pPr>
              <w:pStyle w:val="Subtitle"/>
              <w:keepNext w:val="0"/>
              <w:keepLines w:val="0"/>
              <w:pageBreakBefore w:val="0"/>
              <w:spacing w:after="0" w:line="480" w:lineRule="auto"/>
              <w:jc w:val="left"/>
              <w:rPr>
                <w:rFonts w:ascii="Times New Roman" w:cs="Times New Roman" w:eastAsia="Times New Roman" w:hAnsi="Times New Roman"/>
                <w:b w:val="1"/>
                <w:i w:val="0"/>
                <w:color w:val="000000"/>
                <w:sz w:val="20"/>
                <w:szCs w:val="20"/>
              </w:rPr>
            </w:pPr>
            <w:bookmarkStart w:colFirst="0" w:colLast="0" w:name="_8aypxj7orbbm" w:id="0"/>
            <w:bookmarkEnd w:id="0"/>
            <w:r w:rsidDel="00000000" w:rsidR="00000000" w:rsidRPr="00000000">
              <w:rPr>
                <w:rFonts w:ascii="Times New Roman" w:cs="Times New Roman" w:eastAsia="Times New Roman" w:hAnsi="Times New Roman"/>
                <w:b w:val="1"/>
                <w:i w:val="0"/>
                <w:color w:val="000000"/>
                <w:sz w:val="20"/>
                <w:szCs w:val="20"/>
                <w:rtl w:val="0"/>
              </w:rPr>
              <w:t xml:space="preserve">Resultado de aprendizaje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06">
            <w:pPr>
              <w:pStyle w:val="Subtitle"/>
              <w:keepNext w:val="0"/>
              <w:keepLines w:val="0"/>
              <w:pageBreakBefore w:val="0"/>
              <w:spacing w:after="0" w:line="480" w:lineRule="auto"/>
              <w:jc w:val="left"/>
              <w:rPr>
                <w:rFonts w:ascii="Times New Roman" w:cs="Times New Roman" w:eastAsia="Times New Roman" w:hAnsi="Times New Roman"/>
                <w:b w:val="1"/>
                <w:i w:val="0"/>
                <w:color w:val="000000"/>
                <w:sz w:val="20"/>
                <w:szCs w:val="20"/>
              </w:rPr>
            </w:pPr>
            <w:bookmarkStart w:colFirst="0" w:colLast="0" w:name="_cyhuhjb6sbmg" w:id="2"/>
            <w:bookmarkEnd w:id="2"/>
            <w:r w:rsidDel="00000000" w:rsidR="00000000" w:rsidRPr="00000000">
              <w:rPr>
                <w:rFonts w:ascii="Times New Roman" w:cs="Times New Roman" w:eastAsia="Times New Roman" w:hAnsi="Times New Roman"/>
                <w:b w:val="1"/>
                <w:i w:val="0"/>
                <w:color w:val="000000"/>
                <w:sz w:val="20"/>
                <w:szCs w:val="20"/>
                <w:rtl w:val="0"/>
              </w:rPr>
              <w:t xml:space="preserve">Criterios de evaluación</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7">
            <w:pPr>
              <w:pStyle w:val="Subtitle"/>
              <w:keepNext w:val="0"/>
              <w:keepLines w:val="0"/>
              <w:pageBreakBefore w:val="0"/>
              <w:spacing w:after="0" w:lineRule="auto"/>
              <w:jc w:val="left"/>
              <w:rPr>
                <w:rFonts w:ascii="Times New Roman" w:cs="Times New Roman" w:eastAsia="Times New Roman" w:hAnsi="Times New Roman"/>
                <w:b w:val="1"/>
                <w:i w:val="0"/>
                <w:color w:val="000000"/>
                <w:sz w:val="20"/>
                <w:szCs w:val="20"/>
              </w:rPr>
            </w:pPr>
            <w:bookmarkStart w:colFirst="0" w:colLast="0" w:name="_4ppgb4q7uc64" w:id="3"/>
            <w:bookmarkEnd w:id="3"/>
            <w:r w:rsidDel="00000000" w:rsidR="00000000" w:rsidRPr="00000000">
              <w:rPr>
                <w:rFonts w:ascii="Times New Roman" w:cs="Times New Roman" w:eastAsia="Times New Roman" w:hAnsi="Times New Roman"/>
                <w:b w:val="1"/>
                <w:i w:val="0"/>
                <w:color w:val="000000"/>
                <w:sz w:val="20"/>
                <w:szCs w:val="20"/>
                <w:rtl w:val="0"/>
              </w:rPr>
              <w:t xml:space="preserve">RA - 1 </w:t>
            </w:r>
            <w:r w:rsidDel="00000000" w:rsidR="00000000" w:rsidRPr="00000000">
              <w:rPr>
                <w:rFonts w:ascii="Times New Roman" w:cs="Times New Roman" w:eastAsia="Times New Roman" w:hAnsi="Times New Roman"/>
                <w:i w:val="0"/>
                <w:color w:val="000000"/>
                <w:sz w:val="20"/>
                <w:szCs w:val="20"/>
                <w:rtl w:val="0"/>
              </w:rPr>
              <w:t xml:space="preserve">Identifica sistemas de planificación de recursos empresariales y de gestión de relaciones con clientes (ERP-CRM) reconociendo sus características y verificando la configuración del sistema informático.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1"/>
              <w:pageBreakBefore w:val="0"/>
              <w:spacing w:before="200" w:lineRule="auto"/>
              <w:jc w:val="left"/>
              <w:rPr>
                <w:sz w:val="20"/>
                <w:szCs w:val="20"/>
              </w:rPr>
            </w:pPr>
            <w:r w:rsidDel="00000000" w:rsidR="00000000" w:rsidRPr="00000000">
              <w:rPr>
                <w:sz w:val="20"/>
                <w:szCs w:val="20"/>
                <w:rtl w:val="0"/>
              </w:rPr>
              <w:t xml:space="preserve">a) Se han reconocido los diferentes sistemas ERP-CRM que existen en el mercado.</w:t>
            </w:r>
          </w:p>
          <w:p w:rsidR="00000000" w:rsidDel="00000000" w:rsidP="00000000" w:rsidRDefault="00000000" w:rsidRPr="00000000" w14:paraId="00000009">
            <w:pPr>
              <w:keepNext w:val="1"/>
              <w:pageBreakBefore w:val="0"/>
              <w:spacing w:before="200" w:lineRule="auto"/>
              <w:jc w:val="left"/>
              <w:rPr>
                <w:sz w:val="20"/>
                <w:szCs w:val="20"/>
              </w:rPr>
            </w:pPr>
            <w:r w:rsidDel="00000000" w:rsidR="00000000" w:rsidRPr="00000000">
              <w:rPr>
                <w:sz w:val="20"/>
                <w:szCs w:val="20"/>
                <w:rtl w:val="0"/>
              </w:rPr>
              <w:t xml:space="preserve">b) Se han comparado sistemas ERP-CRM en función de sus características y requisitos.</w:t>
            </w:r>
          </w:p>
          <w:p w:rsidR="00000000" w:rsidDel="00000000" w:rsidP="00000000" w:rsidRDefault="00000000" w:rsidRPr="00000000" w14:paraId="0000000A">
            <w:pPr>
              <w:keepNext w:val="1"/>
              <w:pageBreakBefore w:val="0"/>
              <w:spacing w:before="200" w:lineRule="auto"/>
              <w:jc w:val="left"/>
              <w:rPr>
                <w:sz w:val="20"/>
                <w:szCs w:val="20"/>
              </w:rPr>
            </w:pPr>
            <w:r w:rsidDel="00000000" w:rsidR="00000000" w:rsidRPr="00000000">
              <w:rPr>
                <w:sz w:val="20"/>
                <w:szCs w:val="20"/>
                <w:rtl w:val="0"/>
              </w:rPr>
              <w:t xml:space="preserve">c) Se han identificado las arquitecturas utilizadas en los sistemas ERP-CRM.</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B">
            <w:pPr>
              <w:pStyle w:val="Subtitle"/>
              <w:keepNext w:val="0"/>
              <w:keepLines w:val="0"/>
              <w:pageBreakBefore w:val="0"/>
              <w:spacing w:after="0" w:lineRule="auto"/>
              <w:jc w:val="left"/>
              <w:rPr>
                <w:rFonts w:ascii="Times New Roman" w:cs="Times New Roman" w:eastAsia="Times New Roman" w:hAnsi="Times New Roman"/>
                <w:b w:val="1"/>
                <w:i w:val="0"/>
                <w:color w:val="000000"/>
                <w:sz w:val="20"/>
                <w:szCs w:val="20"/>
              </w:rPr>
            </w:pPr>
            <w:bookmarkStart w:colFirst="0" w:colLast="0" w:name="_4ppgb4q7uc64" w:id="3"/>
            <w:bookmarkEnd w:id="3"/>
            <w:r w:rsidDel="00000000" w:rsidR="00000000" w:rsidRPr="00000000">
              <w:rPr>
                <w:rFonts w:ascii="Times New Roman" w:cs="Times New Roman" w:eastAsia="Times New Roman" w:hAnsi="Times New Roman"/>
                <w:b w:val="1"/>
                <w:i w:val="0"/>
                <w:color w:val="000000"/>
                <w:sz w:val="20"/>
                <w:szCs w:val="20"/>
                <w:rtl w:val="0"/>
              </w:rPr>
              <w:t xml:space="preserve">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1"/>
              <w:pageBreakBefore w:val="0"/>
              <w:numPr>
                <w:ilvl w:val="0"/>
                <w:numId w:val="1"/>
              </w:numPr>
              <w:spacing w:after="0" w:afterAutospacing="0" w:before="200" w:lineRule="auto"/>
              <w:ind w:left="720" w:hanging="360"/>
              <w:jc w:val="left"/>
              <w:rPr>
                <w:sz w:val="20"/>
                <w:szCs w:val="20"/>
              </w:rPr>
            </w:pPr>
            <w:r w:rsidDel="00000000" w:rsidR="00000000" w:rsidRPr="00000000">
              <w:rPr>
                <w:sz w:val="20"/>
                <w:szCs w:val="20"/>
                <w:rtl w:val="0"/>
              </w:rPr>
              <w:t xml:space="preserve">Procedimiento General en la Ingeniería de Requisitos: </w:t>
            </w:r>
            <w:hyperlink r:id="rId6">
              <w:r w:rsidDel="00000000" w:rsidR="00000000" w:rsidRPr="00000000">
                <w:rPr>
                  <w:color w:val="1155cc"/>
                  <w:sz w:val="20"/>
                  <w:szCs w:val="20"/>
                  <w:u w:val="single"/>
                  <w:rtl w:val="0"/>
                </w:rPr>
                <w:t xml:space="preserve">http://www.juntadeandalucia.es/servicios/madeja/contenido/procedimiento/23</w:t>
              </w:r>
            </w:hyperlink>
            <w:r w:rsidDel="00000000" w:rsidR="00000000" w:rsidRPr="00000000">
              <w:rPr>
                <w:rtl w:val="0"/>
              </w:rPr>
            </w:r>
          </w:p>
          <w:p w:rsidR="00000000" w:rsidDel="00000000" w:rsidP="00000000" w:rsidRDefault="00000000" w:rsidRPr="00000000" w14:paraId="0000000D">
            <w:pPr>
              <w:keepNext w:val="1"/>
              <w:pageBreakBefore w:val="0"/>
              <w:numPr>
                <w:ilvl w:val="1"/>
                <w:numId w:val="1"/>
              </w:numPr>
              <w:spacing w:after="0" w:afterAutospacing="0" w:before="0" w:beforeAutospacing="0" w:lineRule="auto"/>
              <w:ind w:left="1440" w:hanging="360"/>
              <w:jc w:val="left"/>
              <w:rPr>
                <w:sz w:val="20"/>
                <w:szCs w:val="20"/>
              </w:rPr>
            </w:pPr>
            <w:r w:rsidDel="00000000" w:rsidR="00000000" w:rsidRPr="00000000">
              <w:rPr>
                <w:sz w:val="20"/>
                <w:szCs w:val="20"/>
                <w:rtl w:val="0"/>
              </w:rPr>
              <w:t xml:space="preserve">Procedimiento para Identificar las necesidades de negocio de clientes y usuarios: </w:t>
            </w:r>
            <w:hyperlink r:id="rId7">
              <w:r w:rsidDel="00000000" w:rsidR="00000000" w:rsidRPr="00000000">
                <w:rPr>
                  <w:color w:val="1155cc"/>
                  <w:sz w:val="20"/>
                  <w:szCs w:val="20"/>
                  <w:u w:val="single"/>
                  <w:rtl w:val="0"/>
                </w:rPr>
                <w:t xml:space="preserve">http://www.juntadeandalucia.es/servicios/madeja/contenido/procedimiento/19</w:t>
              </w:r>
            </w:hyperlink>
            <w:r w:rsidDel="00000000" w:rsidR="00000000" w:rsidRPr="00000000">
              <w:rPr>
                <w:rtl w:val="0"/>
              </w:rPr>
            </w:r>
          </w:p>
          <w:p w:rsidR="00000000" w:rsidDel="00000000" w:rsidP="00000000" w:rsidRDefault="00000000" w:rsidRPr="00000000" w14:paraId="0000000E">
            <w:pPr>
              <w:keepNext w:val="1"/>
              <w:pageBreakBefore w:val="0"/>
              <w:numPr>
                <w:ilvl w:val="0"/>
                <w:numId w:val="1"/>
              </w:numPr>
              <w:spacing w:after="0" w:afterAutospacing="0" w:before="0" w:beforeAutospacing="0" w:lineRule="auto"/>
              <w:ind w:left="720" w:hanging="360"/>
              <w:jc w:val="left"/>
              <w:rPr>
                <w:sz w:val="20"/>
                <w:szCs w:val="20"/>
              </w:rPr>
            </w:pPr>
            <w:r w:rsidDel="00000000" w:rsidR="00000000" w:rsidRPr="00000000">
              <w:rPr>
                <w:sz w:val="20"/>
                <w:szCs w:val="20"/>
                <w:rtl w:val="0"/>
              </w:rPr>
              <w:t xml:space="preserve">Subsistema de Ingeniería / Ingeniería de requisitos:</w:t>
            </w:r>
          </w:p>
          <w:p w:rsidR="00000000" w:rsidDel="00000000" w:rsidP="00000000" w:rsidRDefault="00000000" w:rsidRPr="00000000" w14:paraId="0000000F">
            <w:pPr>
              <w:keepNext w:val="1"/>
              <w:pageBreakBefore w:val="0"/>
              <w:numPr>
                <w:ilvl w:val="1"/>
                <w:numId w:val="1"/>
              </w:numPr>
              <w:spacing w:before="0" w:beforeAutospacing="0" w:lineRule="auto"/>
              <w:ind w:left="1440" w:hanging="360"/>
              <w:jc w:val="left"/>
              <w:rPr>
                <w:sz w:val="20"/>
                <w:szCs w:val="20"/>
              </w:rPr>
            </w:pPr>
            <w:r w:rsidDel="00000000" w:rsidR="00000000" w:rsidRPr="00000000">
              <w:rPr>
                <w:sz w:val="20"/>
                <w:szCs w:val="20"/>
                <w:rtl w:val="0"/>
              </w:rPr>
              <w:t xml:space="preserve">Pautas Desarrollo de requisitos de un sistema que satisfaga las necesidades de negocio: </w:t>
            </w:r>
            <w:hyperlink r:id="rId8">
              <w:r w:rsidDel="00000000" w:rsidR="00000000" w:rsidRPr="00000000">
                <w:rPr>
                  <w:color w:val="1155cc"/>
                  <w:sz w:val="20"/>
                  <w:szCs w:val="20"/>
                  <w:u w:val="single"/>
                  <w:rtl w:val="0"/>
                </w:rPr>
                <w:t xml:space="preserve">http://www.juntadeandalucia.es/servicios/madeja/contenido/subsistemas/ingenieria/identificacion-necesidades-negocio</w:t>
              </w:r>
            </w:hyperlink>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0">
            <w:pPr>
              <w:pStyle w:val="Subtitle"/>
              <w:keepNext w:val="0"/>
              <w:keepLines w:val="0"/>
              <w:pageBreakBefore w:val="0"/>
              <w:spacing w:after="0" w:lineRule="auto"/>
              <w:jc w:val="left"/>
              <w:rPr>
                <w:rFonts w:ascii="Times New Roman" w:cs="Times New Roman" w:eastAsia="Times New Roman" w:hAnsi="Times New Roman"/>
                <w:b w:val="1"/>
                <w:i w:val="0"/>
                <w:color w:val="000000"/>
                <w:sz w:val="20"/>
                <w:szCs w:val="20"/>
              </w:rPr>
            </w:pPr>
            <w:bookmarkStart w:colFirst="0" w:colLast="0" w:name="_qbo6qiyu0yp" w:id="4"/>
            <w:bookmarkEnd w:id="4"/>
            <w:r w:rsidDel="00000000" w:rsidR="00000000" w:rsidRPr="00000000">
              <w:rPr>
                <w:rFonts w:ascii="Times New Roman" w:cs="Times New Roman" w:eastAsia="Times New Roman" w:hAnsi="Times New Roman"/>
                <w:b w:val="1"/>
                <w:i w:val="0"/>
                <w:color w:val="000000"/>
                <w:sz w:val="20"/>
                <w:szCs w:val="20"/>
                <w:rtl w:val="0"/>
              </w:rPr>
              <w:t xml:space="preserve">SUBTAREAS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1"/>
              <w:pageBreakBefore w:val="0"/>
              <w:spacing w:before="200" w:lineRule="auto"/>
              <w:jc w:val="left"/>
              <w:rPr>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pageBreakBefore w:val="0"/>
                  <w:tabs>
                    <w:tab w:val="right" w:leader="none" w:pos="6750"/>
                  </w:tabs>
                  <w:spacing w:before="6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13">
                <w:pPr>
                  <w:pageBreakBefore w:val="0"/>
                  <w:tabs>
                    <w:tab w:val="right" w:leader="none" w:pos="675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ngwd0ki99jn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ANÁLISIS DEL MODELO DE NEGOCIO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_ngwd0ki99jnq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keepNext w:val="1"/>
              <w:pageBreakBefore w:val="0"/>
              <w:spacing w:before="200" w:lineRule="auto"/>
              <w:jc w:val="left"/>
              <w:rPr>
                <w:sz w:val="20"/>
                <w:szCs w:val="2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5">
            <w:pPr>
              <w:pStyle w:val="Subtitle"/>
              <w:keepNext w:val="0"/>
              <w:keepLines w:val="0"/>
              <w:pageBreakBefore w:val="0"/>
              <w:spacing w:after="0" w:lineRule="auto"/>
              <w:jc w:val="left"/>
              <w:rPr>
                <w:rFonts w:ascii="Times New Roman" w:cs="Times New Roman" w:eastAsia="Times New Roman" w:hAnsi="Times New Roman"/>
                <w:b w:val="1"/>
                <w:i w:val="0"/>
                <w:color w:val="000000"/>
                <w:sz w:val="20"/>
                <w:szCs w:val="20"/>
              </w:rPr>
            </w:pPr>
            <w:bookmarkStart w:colFirst="0" w:colLast="0" w:name="_4ppgb4q7uc64" w:id="3"/>
            <w:bookmarkEnd w:id="3"/>
            <w:r w:rsidDel="00000000" w:rsidR="00000000" w:rsidRPr="00000000">
              <w:rPr>
                <w:rFonts w:ascii="Times New Roman" w:cs="Times New Roman" w:eastAsia="Times New Roman" w:hAnsi="Times New Roman"/>
                <w:b w:val="1"/>
                <w:i w:val="0"/>
                <w:color w:val="000000"/>
                <w:sz w:val="20"/>
                <w:szCs w:val="20"/>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1"/>
              <w:pageBreakBefore w:val="0"/>
              <w:spacing w:before="200" w:lineRule="auto"/>
              <w:jc w:val="left"/>
              <w:rPr>
                <w:sz w:val="20"/>
                <w:szCs w:val="20"/>
              </w:rPr>
            </w:pPr>
            <w:r w:rsidDel="00000000" w:rsidR="00000000" w:rsidRPr="00000000">
              <w:rPr>
                <w:sz w:val="20"/>
                <w:szCs w:val="20"/>
                <w:rtl w:val="0"/>
              </w:rPr>
              <w:t xml:space="preserve">3 horas</w:t>
            </w:r>
          </w:p>
        </w:tc>
      </w:tr>
    </w:tbl>
    <w:p w:rsidR="00000000" w:rsidDel="00000000" w:rsidP="00000000" w:rsidRDefault="00000000" w:rsidRPr="00000000" w14:paraId="00000017">
      <w:pPr>
        <w:pageBreakBefore w:val="0"/>
        <w:spacing w:before="200" w:lineRule="auto"/>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pageBreakBefore w:val="0"/>
        <w:rPr/>
      </w:pPr>
      <w:bookmarkStart w:colFirst="0" w:colLast="0" w:name="_ngwd0ki99jnq" w:id="5"/>
      <w:bookmarkEnd w:id="5"/>
      <w:r w:rsidDel="00000000" w:rsidR="00000000" w:rsidRPr="00000000">
        <w:rPr>
          <w:rtl w:val="0"/>
        </w:rPr>
        <w:t xml:space="preserve">ANÁLISIS DEL MODELO DE NEGOCIO</w:t>
      </w:r>
    </w:p>
    <w:p w:rsidR="00000000" w:rsidDel="00000000" w:rsidP="00000000" w:rsidRDefault="00000000" w:rsidRPr="00000000" w14:paraId="0000001A">
      <w:pPr>
        <w:pageBreakBefore w:val="0"/>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735"/>
        <w:tblGridChange w:id="0">
          <w:tblGrid>
            <w:gridCol w:w="2265"/>
            <w:gridCol w:w="6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rPr>
                <w:rFonts w:ascii="Caveat" w:cs="Caveat" w:eastAsia="Caveat" w:hAnsi="Caveat"/>
                <w:b w:val="1"/>
                <w:sz w:val="36"/>
                <w:szCs w:val="36"/>
              </w:rPr>
            </w:pPr>
            <w:r w:rsidDel="00000000" w:rsidR="00000000" w:rsidRPr="00000000">
              <w:rPr>
                <w:rFonts w:ascii="Caveat" w:cs="Caveat" w:eastAsia="Caveat" w:hAnsi="Caveat"/>
                <w:b w:val="1"/>
                <w:sz w:val="36"/>
                <w:szCs w:val="36"/>
                <w:rtl w:val="0"/>
              </w:rPr>
              <w:t xml:space="preserve">Descripción del modelo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pPr>
            <w:r w:rsidDel="00000000" w:rsidR="00000000" w:rsidRPr="00000000">
              <w:rPr>
                <w:rtl w:val="0"/>
              </w:rPr>
              <w:t xml:space="preserve">Alquiler: Este modelo de negocio consiste en una plataforma de alquiler de ropa para uso diario, donde los usuarios pueden alquilar prendas para cualquier ocasión. La plataforma ofrece una amplia gama de ropa, desde casual hasta formal, incluyendo ropa de trabajo, ropa de temporada, y opciones para ocasiones informales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rPr>
                <w:rFonts w:ascii="Caveat" w:cs="Caveat" w:eastAsia="Caveat" w:hAnsi="Caveat"/>
                <w:b w:val="1"/>
                <w:sz w:val="36"/>
                <w:szCs w:val="36"/>
              </w:rPr>
            </w:pPr>
            <w:r w:rsidDel="00000000" w:rsidR="00000000" w:rsidRPr="00000000">
              <w:rPr>
                <w:rFonts w:ascii="Caveat" w:cs="Caveat" w:eastAsia="Caveat" w:hAnsi="Caveat"/>
                <w:b w:val="1"/>
                <w:sz w:val="36"/>
                <w:szCs w:val="36"/>
                <w:rtl w:val="0"/>
              </w:rPr>
              <w:t xml:space="preserve">Procesos de negocio principales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rtl w:val="0"/>
              </w:rPr>
              <w:t xml:space="preserve">La empresa compra o se asocia con marcas y diseñadores para obtener prendas de diversas categorías (casual, formal, deportivo, etc.), las cuales alquila a los usuarios. La inversión en el inventario de ropa es clave para garantizar la variedad y disponibilidad.</w:t>
            </w:r>
          </w:p>
          <w:p w:rsidR="00000000" w:rsidDel="00000000" w:rsidP="00000000" w:rsidRDefault="00000000" w:rsidRPr="00000000" w14:paraId="0000001F">
            <w:pPr>
              <w:widowControl w:val="0"/>
              <w:rPr/>
            </w:pPr>
            <w:r w:rsidDel="00000000" w:rsidR="00000000" w:rsidRPr="00000000">
              <w:rPr>
                <w:rtl w:val="0"/>
              </w:rPr>
              <w:t xml:space="preserve">La plataforma ofrece diferentes planes de suscripción que permiten a los usuarios alquilar una cantidad determinada de prendas cada mes. Los planes pueden variar en precio según la cantidad de prendas y la categoría de ropa.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rPr>
                <w:rFonts w:ascii="Caveat" w:cs="Caveat" w:eastAsia="Caveat" w:hAnsi="Caveat"/>
                <w:b w:val="1"/>
                <w:sz w:val="36"/>
                <w:szCs w:val="36"/>
              </w:rPr>
            </w:pPr>
            <w:r w:rsidDel="00000000" w:rsidR="00000000" w:rsidRPr="00000000">
              <w:rPr>
                <w:rFonts w:ascii="Caveat" w:cs="Caveat" w:eastAsia="Caveat" w:hAnsi="Caveat"/>
                <w:b w:val="1"/>
                <w:sz w:val="36"/>
                <w:szCs w:val="36"/>
                <w:rtl w:val="0"/>
              </w:rPr>
              <w:t xml:space="preserve">Historias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tl w:val="0"/>
              </w:rPr>
              <w:t xml:space="preserve">Como cliente, quiero alquilar ropa para diferentes ocasiones (ir a la oficina, salir con amigos o un fin de semana), para evitar comprar ropa nueva todo el tiempo.</w:t>
            </w:r>
          </w:p>
          <w:p w:rsidR="00000000" w:rsidDel="00000000" w:rsidP="00000000" w:rsidRDefault="00000000" w:rsidRPr="00000000" w14:paraId="00000022">
            <w:pPr>
              <w:widowControl w:val="0"/>
              <w:rPr/>
            </w:pPr>
            <w:r w:rsidDel="00000000" w:rsidR="00000000" w:rsidRPr="00000000">
              <w:rPr>
                <w:rtl w:val="0"/>
              </w:rPr>
              <w:t xml:space="preserve">Como cliente, quiero recibir la ropa a domicilio y tener la opción de cambiarla si no me queda bien o no me gusta.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rPr>
                <w:rFonts w:ascii="Caveat" w:cs="Caveat" w:eastAsia="Caveat" w:hAnsi="Caveat"/>
                <w:b w:val="1"/>
                <w:sz w:val="36"/>
                <w:szCs w:val="36"/>
              </w:rPr>
            </w:pPr>
            <w:r w:rsidDel="00000000" w:rsidR="00000000" w:rsidRPr="00000000">
              <w:rPr>
                <w:rFonts w:ascii="Caveat" w:cs="Caveat" w:eastAsia="Caveat" w:hAnsi="Caveat"/>
                <w:b w:val="1"/>
                <w:sz w:val="36"/>
                <w:szCs w:val="36"/>
                <w:rtl w:val="0"/>
              </w:rPr>
              <w:t xml:space="preserve">Reglas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pPr>
            <w:r w:rsidDel="00000000" w:rsidR="00000000" w:rsidRPr="00000000">
              <w:rPr>
                <w:rtl w:val="0"/>
              </w:rPr>
              <w:t xml:space="preserve">En cuanto a la duración del alquiler, los usuarios pueden alquilar prendas por períodos estándar de entre 7 y 14 días. Si desean extender el plazo, pueden hacerlo pagando una tarifa adicional, lo que permite flexibilidad en el uso de las prendas. Todas las prendas deben devolverse en buen estado, considerando el desgaste normal por el uso. En caso de daños significativos o pérdida, se aplican tarifas por reparación o reemplazo, asegurando que la empresa mantenga un inventario en buen estado y disponible.</w:t>
            </w:r>
            <w:r w:rsidDel="00000000" w:rsidR="00000000" w:rsidRPr="00000000">
              <w:rPr>
                <w:rtl w:val="0"/>
              </w:rPr>
            </w:r>
          </w:p>
        </w:tc>
      </w:tr>
    </w:tbl>
    <w:p w:rsidR="00000000" w:rsidDel="00000000" w:rsidP="00000000" w:rsidRDefault="00000000" w:rsidRPr="00000000" w14:paraId="00000025">
      <w:pPr>
        <w:keepNext w:val="1"/>
        <w:pageBreakBefore w:val="0"/>
        <w:jc w:val="left"/>
        <w:rPr>
          <w:sz w:val="22"/>
          <w:szCs w:val="22"/>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Style w:val="Heading2"/>
        <w:pageBreakBefore w:val="0"/>
        <w:spacing w:before="200" w:lineRule="auto"/>
        <w:jc w:val="both"/>
        <w:rPr/>
      </w:pPr>
      <w:bookmarkStart w:colFirst="0" w:colLast="0" w:name="_ad123qe6np1t" w:id="6"/>
      <w:bookmarkEnd w:id="6"/>
      <w:r w:rsidDel="00000000" w:rsidR="00000000" w:rsidRPr="00000000">
        <w:rPr>
          <w:rtl w:val="0"/>
        </w:rPr>
      </w:r>
    </w:p>
    <w:sectPr>
      <w:headerReference r:id="rId9"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Verdana"/>
  <w:font w:name="Georgia"/>
  <w:font w:name="Times New Roman"/>
  <w:font w:name="Caveat">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pageBreakBefore w:val="0"/>
      <w:rPr/>
    </w:pPr>
    <w:r w:rsidDel="00000000" w:rsidR="00000000" w:rsidRPr="00000000">
      <w:rPr>
        <w:rtl w:val="0"/>
      </w:rPr>
    </w:r>
  </w:p>
  <w:tbl>
    <w:tblPr>
      <w:tblStyle w:val="Table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5085"/>
      <w:gridCol w:w="2190"/>
      <w:tblGridChange w:id="0">
        <w:tblGrid>
          <w:gridCol w:w="1740"/>
          <w:gridCol w:w="5085"/>
          <w:gridCol w:w="2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jc w:val="left"/>
            <w:rPr/>
          </w:pPr>
          <w:r w:rsidDel="00000000" w:rsidR="00000000" w:rsidRPr="00000000">
            <w:rPr/>
            <w:drawing>
              <wp:inline distB="114300" distT="114300" distL="114300" distR="114300">
                <wp:extent cx="881063" cy="493929"/>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81063" cy="493929"/>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jc w:val="center"/>
            <w:rPr/>
          </w:pPr>
          <w:r w:rsidDel="00000000" w:rsidR="00000000" w:rsidRPr="00000000">
            <w:rPr>
              <w:rtl w:val="0"/>
            </w:rPr>
            <w:t xml:space="preserve">TAREA  Modelo de Negocio.</w:t>
          </w:r>
        </w:p>
        <w:p w:rsidR="00000000" w:rsidDel="00000000" w:rsidP="00000000" w:rsidRDefault="00000000" w:rsidRPr="00000000" w14:paraId="0000002B">
          <w:pPr>
            <w:pageBreakBefore w:val="0"/>
            <w:widowControl w:val="0"/>
            <w:jc w:val="center"/>
            <w:rPr/>
          </w:pPr>
          <w:r w:rsidDel="00000000" w:rsidR="00000000" w:rsidRPr="00000000">
            <w:rPr>
              <w:rtl w:val="0"/>
            </w:rPr>
            <w:t xml:space="preserve">Análisis previo Implantación ERP</w:t>
          </w:r>
        </w:p>
        <w:p w:rsidR="00000000" w:rsidDel="00000000" w:rsidP="00000000" w:rsidRDefault="00000000" w:rsidRPr="00000000" w14:paraId="0000002C">
          <w:pPr>
            <w:pageBreakBefore w:val="0"/>
            <w:widowControl w:val="0"/>
            <w:jc w:val="center"/>
            <w:rPr/>
          </w:pPr>
          <w:r w:rsidDel="00000000" w:rsidR="00000000" w:rsidRPr="00000000">
            <w:rPr>
              <w:rtl w:val="0"/>
            </w:rPr>
            <w:t xml:space="preserve">2º GS. Desarrollo de Aplicaciones Multiplataforma.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jc w:val="left"/>
            <w:rPr/>
          </w:pPr>
          <w:r w:rsidDel="00000000" w:rsidR="00000000" w:rsidRPr="00000000">
            <w:rPr/>
            <w:drawing>
              <wp:inline distB="114300" distT="114300" distL="114300" distR="114300">
                <wp:extent cx="1166813" cy="480452"/>
                <wp:effectExtent b="0" l="0" r="0" t="0"/>
                <wp:docPr id="2" name="image2.jpg"/>
                <a:graphic>
                  <a:graphicData uri="http://schemas.openxmlformats.org/drawingml/2006/picture">
                    <pic:pic>
                      <pic:nvPicPr>
                        <pic:cNvPr id="0" name="image2.jpg"/>
                        <pic:cNvPicPr preferRelativeResize="0"/>
                      </pic:nvPicPr>
                      <pic:blipFill>
                        <a:blip r:embed="rId2"/>
                        <a:srcRect b="0" l="0" r="0" t="0"/>
                        <a:stretch>
                          <a:fillRect/>
                        </a:stretch>
                      </pic:blipFill>
                      <pic:spPr>
                        <a:xfrm>
                          <a:off x="0" y="0"/>
                          <a:ext cx="1166813" cy="48045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E">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0" w:line="335" w:lineRule="auto"/>
      <w:jc w:val="center"/>
    </w:pPr>
    <w:rPr>
      <w:rFonts w:ascii="Cambria" w:cs="Cambria" w:eastAsia="Cambria" w:hAnsi="Cambria"/>
      <w:b w:val="1"/>
      <w:color w:val="38761d"/>
      <w:sz w:val="36"/>
      <w:szCs w:val="36"/>
    </w:rPr>
  </w:style>
  <w:style w:type="paragraph" w:styleId="Heading2">
    <w:name w:val="heading 2"/>
    <w:basedOn w:val="Normal"/>
    <w:next w:val="Normal"/>
    <w:pPr>
      <w:keepNext w:val="1"/>
      <w:keepLines w:val="1"/>
      <w:pageBreakBefore w:val="0"/>
      <w:spacing w:before="0" w:lineRule="auto"/>
      <w:jc w:val="left"/>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lineRule="auto"/>
    </w:pPr>
    <w:rPr>
      <w:b w:val="1"/>
      <w:color w:val="980000"/>
      <w:sz w:val="28"/>
      <w:szCs w:val="28"/>
    </w:rPr>
  </w:style>
  <w:style w:type="paragraph" w:styleId="Heading4">
    <w:name w:val="heading 4"/>
    <w:basedOn w:val="Normal"/>
    <w:next w:val="Normal"/>
    <w:pPr>
      <w:keepNext w:val="1"/>
      <w:keepLines w:val="1"/>
      <w:pageBreakBefore w:val="0"/>
      <w:shd w:fill="0b215a" w:val="clear"/>
      <w:spacing w:after="80" w:lineRule="auto"/>
    </w:pPr>
    <w:rPr>
      <w:rFonts w:ascii="Verdana" w:cs="Verdana" w:eastAsia="Verdana" w:hAnsi="Verdana"/>
      <w:b w:val="1"/>
      <w:color w:val="f7bd42"/>
      <w:sz w:val="30"/>
      <w:szCs w:val="30"/>
    </w:rPr>
  </w:style>
  <w:style w:type="paragraph" w:styleId="Heading5">
    <w:name w:val="heading 5"/>
    <w:basedOn w:val="Normal"/>
    <w:next w:val="Normal"/>
    <w:pPr>
      <w:keepNext w:val="1"/>
      <w:keepLines w:val="1"/>
      <w:pageBreakBefore w:val="0"/>
      <w:shd w:fill="0b215a" w:val="clear"/>
      <w:spacing w:after="80" w:before="360" w:lineRule="auto"/>
    </w:pPr>
    <w:rPr>
      <w:rFonts w:ascii="Verdana" w:cs="Verdana" w:eastAsia="Verdana" w:hAnsi="Verdana"/>
      <w:b w:val="1"/>
      <w:color w:val="f7bd42"/>
      <w:sz w:val="30"/>
      <w:szCs w:val="3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lineRule="auto"/>
      <w:jc w:val="center"/>
    </w:pPr>
    <w:rPr>
      <w:rFonts w:ascii="Georgia" w:cs="Georgia" w:eastAsia="Georgia" w:hAnsi="Georgia"/>
      <w:i w:val="1"/>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juntadeandalucia.es/servicios/madeja/contenido/procedimiento/23" TargetMode="External"/><Relationship Id="rId7" Type="http://schemas.openxmlformats.org/officeDocument/2006/relationships/hyperlink" Target="http://www.juntadeandalucia.es/servicios/madeja/contenido/procedimiento/19" TargetMode="External"/><Relationship Id="rId8" Type="http://schemas.openxmlformats.org/officeDocument/2006/relationships/hyperlink" Target="http://www.juntadeandalucia.es/servicios/madeja/contenido/subsistemas/ingenieria/identificacion-necesidades-negoc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