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14:paraId="00000001">
      <w:pPr>
        <w:pageBreakBefore w:val="0"/>
        <w:spacing w:after="0" w:line="259" w:lineRule="auto"/>
        <w:ind w:left="14" w:firstLine="0"/>
        <w:jc w:val="center"/>
        <w:rPr>
          <w:sz w:val="32"/>
          <w:szCs w:val="32"/>
        </w:rPr>
      </w:pPr>
      <w:r>
        <w:rPr>
          <w:b/>
          <w:sz w:val="36"/>
        </w:rPr>
        <w:t>Bixby Q. Placeholder</w:t>
      </w:r>
    </w:p>
    <w:p w14:paraId="00000002">
      <w:pPr>
        <w:pageBreakBefore w:val="0"/>
        <w:spacing w:after="64" w:line="259" w:lineRule="auto"/>
        <w:ind w:left="12" w:firstLine="0"/>
        <w:jc w:val="center"/>
        <w:rPr/>
      </w:pPr>
      <w:r>
        <w:rPr>
          <w:sz w:val="18"/>
        </w:rPr>
        <w:t>404 Placeholder Loop • Boring Springs, ZZ 00042 • 555-010-4040 • bixby.placeholder@totally-real-mail.invalid</w:t>
      </w:r>
    </w:p>
    <w:p w14:paraId="00000003">
      <w:pPr>
        <w:pageBreakBefore w:val="0"/>
        <w:spacing w:after="7" w:line="259" w:lineRule="auto"/>
        <w:ind w:left="14" w:firstLine="0"/>
        <w:jc w:val="center"/>
        <w:rPr>
          <w:b w:val="1"/>
          <w:i w:val="1"/>
        </w:rPr>
      </w:pPr>
      <w:r>
        <w:rPr>
          <w:rtl w:val="0"/>
        </w:rPr>
      </w:r>
    </w:p>
    <w:p w14:paraId="00000004">
      <w:pPr>
        <w:pageBreakBefore w:val="0"/>
        <w:spacing w:after="7" w:line="259" w:lineRule="auto"/>
        <w:ind w:left="14" w:firstLine="0"/>
        <w:jc w:val="center"/>
        <w:rPr>
          <w:b w:val="1"/>
          <w:i w:val="1"/>
        </w:rPr>
      </w:pPr>
      <w:r>
        <w:rPr>
          <w:b/>
          <w:i/>
        </w:rPr>
        <w:t>Education</w:t>
      </w:r>
    </w:p>
    <w:p w14:paraId="00000005">
      <w:pPr>
        <w:pageBreakBefore w:val="0"/>
        <w:tabs>
          <w:tab w:val="right" w:pos="9360"/>
        </w:tabs>
        <w:spacing w:after="0" w:line="259" w:lineRule="auto"/>
        <w:ind w:left="0" w:firstLine="0"/>
        <w:rPr/>
      </w:pPr>
      <w:r>
        <w:rPr>
          <w:b/>
        </w:rPr>
        <w:t>North Central University of Questionable Science, Castle Pines NM</w:t>
        <w:tab/>
      </w:r>
    </w:p>
    <w:p w14:paraId="00000006">
      <w:pPr>
        <w:pageBreakBefore w:val="0"/>
        <w:tabs>
          <w:tab w:val="right" w:pos="9360"/>
        </w:tabs>
        <w:spacing w:after="0" w:line="259" w:lineRule="auto"/>
        <w:ind w:left="0" w:firstLine="270"/>
        <w:rPr/>
      </w:pPr>
      <w:r>
        <w:rPr>
          <w:i/>
        </w:rPr>
        <w:t>Master of Science in Computational Folklore   GPA: 3.79</w:t>
        <w:tab/>
        <w:t>May 2016</w:t>
      </w:r>
    </w:p>
    <w:p w14:paraId="00000007">
      <w:pPr>
        <w:pageBreakBefore w:val="0"/>
        <w:tabs>
          <w:tab w:val="right" w:pos="9360"/>
        </w:tabs>
        <w:spacing w:after="0" w:line="259" w:lineRule="auto"/>
        <w:ind w:left="0" w:firstLine="270"/>
        <w:rPr/>
      </w:pPr>
      <w:r>
        <w:rPr>
          <w:i/>
        </w:rPr>
        <w:t>Bachelor of Science in Computer Science   GPA: 3.83</w:t>
        <w:tab/>
        <w:t>August 2014</w:t>
      </w:r>
    </w:p>
    <w:p w14:paraId="00000008">
      <w:pPr>
        <w:pageBreakBefore w:val="0"/>
        <w:spacing w:after="0" w:line="259" w:lineRule="auto"/>
        <w:ind w:left="0" w:firstLine="0"/>
        <w:rPr>
          <w:b w:val="1"/>
        </w:rPr>
      </w:pPr>
      <w:r>
        <w:rPr>
          <w:b/>
        </w:rPr>
        <w:t>Community College of Respectable Nonsense, Maxwell Annex AL</w:t>
      </w:r>
    </w:p>
    <w:p w14:paraId="00000009">
      <w:pPr>
        <w:pageBreakBefore w:val="0"/>
        <w:tabs>
          <w:tab w:val="right" w:pos="9360"/>
        </w:tabs>
        <w:spacing w:after="0" w:line="259" w:lineRule="auto"/>
        <w:ind w:left="0" w:firstLine="0"/>
        <w:rPr/>
      </w:pPr>
      <w:r>
        <w:rPr>
          <w:i/>
        </w:rPr>
        <w:t xml:space="preserve">    Associates of Applied Science in Spreadsheet Archaeology   GPA: N/A</w:t>
        <w:tab/>
        <w:t>August 2009</w:t>
      </w:r>
    </w:p>
    <w:p w14:paraId="0000000A">
      <w:pPr>
        <w:pageBreakBefore w:val="0"/>
        <w:spacing w:after="128" w:line="259" w:lineRule="auto"/>
        <w:ind w:left="24" w:right="2" w:firstLine="374"/>
        <w:jc w:val="center"/>
        <w:rPr>
          <w:i w:val="1"/>
        </w:rPr>
      </w:pPr>
      <w:r>
        <w:rPr>
          <w:b/>
          <w:i/>
        </w:rPr>
        <w:t>Experience</w:t>
      </w:r>
    </w:p>
    <w:p w14:paraId="0000000B">
      <w:pPr>
        <w:pageBreakBefore w:val="0"/>
        <w:tabs>
          <w:tab w:val="right" w:pos="9360"/>
        </w:tabs>
        <w:spacing w:after="0" w:line="259" w:lineRule="auto"/>
        <w:ind w:left="0" w:right="-90" w:firstLine="0"/>
        <w:rPr/>
      </w:pPr>
      <w:r>
        <w:rPr>
          <w:b/>
        </w:rPr>
        <w:t>Senior Software Contraptioneer at Gigglebyte Controls</w:t>
        <w:tab/>
        <w:t>July 2018 – Present</w:t>
      </w:r>
    </w:p>
    <w:p w14:paraId="0000000C">
      <w:pPr>
        <w:pageBreakBefore w:val="0"/>
        <w:numPr>
          <w:ilvl w:val="0"/>
          <w:numId w:val="2"/>
        </w:numPr>
        <w:spacing w:after="0" w:lineRule="auto"/>
        <w:ind w:left="719" w:hanging="360"/>
        <w:rPr/>
      </w:pPr>
      <w:r>
        <w:rPr/>
        <w:t>Builds operator-facing integration layers for industrial systems whose protocol notes appear to have been annotated by three committees and one raccoon</w:t>
      </w:r>
    </w:p>
    <w:p w14:paraId="0000000D">
      <w:pPr>
        <w:pageBreakBefore w:val="0"/>
        <w:numPr>
          <w:ilvl w:val="0"/>
          <w:numId w:val="2"/>
        </w:numPr>
        <w:spacing w:after="0" w:lineRule="auto"/>
        <w:ind w:left="719" w:hanging="360"/>
        <w:rPr/>
      </w:pPr>
      <w:r>
        <w:rPr/>
        <w:t>Develops desktop configuration software and helper services as the primary UI owner on a compact team that alternates between precision and panic</w:t>
      </w:r>
    </w:p>
    <w:p w14:paraId="0000000E">
      <w:pPr>
        <w:pageBreakBefore w:val="0"/>
        <w:numPr>
          <w:ilvl w:val="0"/>
          <w:numId w:val="2"/>
        </w:numPr>
        <w:spacing w:after="0" w:lineRule="auto"/>
        <w:ind w:left="719" w:hanging="360"/>
        <w:rPr/>
      </w:pPr>
      <w:r>
        <w:rPr/>
        <w:t>Coordinates w/ QA, firmware, and hardware engineers on validation flows, failure triage, and the recurring mystery of why one cable fixes everything</w:t>
      </w:r>
    </w:p>
    <w:p w14:paraId="0000000F">
      <w:pPr>
        <w:pageBreakBefore w:val="0"/>
        <w:numPr>
          <w:ilvl w:val="0"/>
          <w:numId w:val="2"/>
        </w:numPr>
        <w:spacing w:after="0" w:lineRule="auto"/>
        <w:ind w:left="719" w:hanging="360"/>
        <w:rPr/>
      </w:pPr>
      <w:r>
        <w:rPr/>
        <w:t>Maintains a reusable diagnostics library to speed response when new product needs emerge or a release starts acting like it learned sarcasm</w:t>
      </w:r>
    </w:p>
    <w:p w14:paraId="00000010">
      <w:pPr>
        <w:pageBreakBefore w:val="0"/>
        <w:numPr>
          <w:ilvl w:val="0"/>
          <w:numId w:val="2"/>
        </w:numPr>
        <w:spacing w:after="0" w:lineRule="auto"/>
        <w:ind w:left="719" w:hanging="360"/>
        <w:rPr/>
      </w:pPr>
      <w:r>
        <w:rPr/>
        <w:t>Uses internal harnesses to isolate faulty behavior, route issues sanely, and keep software defects from being blamed on innocent circuit boards</w:t>
      </w:r>
    </w:p>
    <w:p w14:paraId="00000011">
      <w:pPr>
        <w:pageBreakBefore w:val="0"/>
        <w:numPr>
          <w:ilvl w:val="0"/>
          <w:numId w:val="2"/>
        </w:numPr>
        <w:spacing w:after="0" w:lineRule="auto"/>
        <w:ind w:left="719" w:hanging="360"/>
        <w:rPr/>
      </w:pPr>
      <w:r>
        <w:rPr/>
        <w:t>Authors configuration interfaces and support layers for multiple hardware variants using abstractions sturdy enough to outlive roadmap mood swings</w:t>
      </w:r>
    </w:p>
    <w:p w14:paraId="00000012">
      <w:pPr>
        <w:pageBreakBefore w:val="0"/>
        <w:numPr>
          <w:ilvl w:val="0"/>
          <w:numId w:val="2"/>
        </w:numPr>
        <w:spacing w:after="0" w:lineRule="auto"/>
        <w:ind w:left="719" w:hanging="360"/>
        <w:rPr>
          <w:u w:val="none"/>
        </w:rPr>
      </w:pPr>
      <w:r>
        <w:rPr/>
        <w:t>Diagnoses cross-stack oddities and routes them to the proper team with evidence, repro steps, and noticeably less folklore</w:t>
      </w:r>
    </w:p>
    <w:p w14:paraId="00000013">
      <w:pPr>
        <w:pageBreakBefore w:val="0"/>
        <w:numPr>
          <w:ilvl w:val="0"/>
          <w:numId w:val="2"/>
        </w:numPr>
        <w:spacing w:after="0" w:lineRule="auto"/>
        <w:ind w:left="719" w:hanging="360"/>
        <w:rPr>
          <w:u w:val="none"/>
        </w:rPr>
      </w:pPr>
      <w:r>
        <w:rPr/>
        <w:t>Automates routine workflows and text-processing chores to remove manual drift, shrink handoff friction, and reduce the number of sacred spreadsheet rituals</w:t>
      </w:r>
    </w:p>
    <w:p w14:paraId="00000014">
      <w:pPr>
        <w:pageBreakBefore w:val="0"/>
        <w:numPr>
          <w:ilvl w:val="0"/>
          <w:numId w:val="2"/>
        </w:numPr>
        <w:spacing w:after="0" w:lineRule="auto"/>
        <w:ind w:left="719" w:hanging="360"/>
        <w:rPr>
          <w:u w:val="none"/>
        </w:rPr>
      </w:pPr>
      <w:r>
        <w:rPr/>
        <w:t>Ported prototype logic into production-grade application code with careful bit handling, clearer guardrails, and fewer opportunities for creative interpretation</w:t>
      </w:r>
    </w:p>
    <w:p w14:paraId="00000015">
      <w:pPr>
        <w:pageBreakBefore w:val="0"/>
        <w:spacing w:after="0" w:lineRule="auto"/>
        <w:ind w:left="0" w:firstLine="360"/>
        <w:rPr>
          <w:b w:val="1"/>
          <w:i w:val="1"/>
        </w:rPr>
      </w:pPr>
      <w:r>
        <w:rPr>
          <w:b/>
          <w:i/>
        </w:rPr>
        <w:t>Significant Achievements:</w:t>
      </w:r>
    </w:p>
    <w:p w14:paraId="00000016">
      <w:pPr>
        <w:pageBreakBefore w:val="0"/>
        <w:numPr>
          <w:ilvl w:val="0"/>
          <w:numId w:val="2"/>
        </w:numPr>
        <w:spacing w:after="0" w:lineRule="auto"/>
        <w:ind w:left="719" w:hanging="359.00000000000006"/>
      </w:pPr>
      <w:r>
        <w:rPr/>
        <w:t>Drafted and got approved a modernization plan, then shipped the first implementation without spawning any folders named final_really_final</w:t>
      </w:r>
    </w:p>
    <w:p w14:paraId="00000017">
      <w:pPr>
        <w:pageBreakBefore w:val="0"/>
        <w:numPr>
          <w:ilvl w:val="0"/>
          <w:numId w:val="2"/>
        </w:numPr>
        <w:spacing w:after="0" w:lineRule="auto"/>
        <w:ind w:left="719" w:hanging="359.00000000000006"/>
        <w:rPr/>
      </w:pPr>
      <w:r>
        <w:rPr/>
        <w:t>Built several validation harnesses across multiple products, including one that had to prove three suspiciously independent components were cooperating</w:t>
      </w:r>
    </w:p>
    <w:p w14:paraId="00000018">
      <w:pPr>
        <w:pageBreakBefore w:val="0"/>
        <w:spacing w:after="0" w:line="259" w:lineRule="auto"/>
        <w:ind w:left="374"/>
        <w:rPr/>
      </w:pPr>
      <w:r>
        <w:rPr>
          <w:b w:val="1"/>
          <w:rtl w:val="0"/>
        </w:rPr>
        <w:t xml:space="preserve"> </w:t>
      </w:r>
      <w:r>
        <w:rPr>
          <w:rtl w:val="0"/>
        </w:rPr>
      </w:r>
    </w:p>
    <w:p w14:paraId="00000019">
      <w:pPr>
        <w:pageBreakBefore w:val="0"/>
        <w:tabs>
          <w:tab w:val="right" w:pos="9360"/>
        </w:tabs>
        <w:spacing w:after="0" w:line="259" w:lineRule="auto"/>
        <w:ind w:left="0" w:right="-90" w:firstLine="0"/>
        <w:rPr/>
      </w:pPr>
      <w:r>
        <w:rPr>
          <w:b/>
        </w:rPr>
        <w:t>Research Intern at Velvet Thunder Metrics</w:t>
        <w:tab/>
        <w:t>May 2013 – September 2015</w:t>
      </w:r>
    </w:p>
    <w:p w14:paraId="0000001A">
      <w:pPr>
        <w:pageBreakBefore w:val="0"/>
        <w:numPr>
          <w:ilvl w:val="0"/>
          <w:numId w:val="2"/>
        </w:numPr>
        <w:spacing w:after="0" w:lineRule="auto"/>
        <w:ind w:left="719" w:hanging="360"/>
        <w:rPr/>
      </w:pPr>
      <w:r>
        <w:rPr/>
        <w:t>Reviewed adjacent research areas and translated the useful parts into prototype ideas instead of merely assembling a decorative literature graveyard</w:t>
      </w:r>
    </w:p>
    <w:p w14:paraId="0000001B">
      <w:pPr>
        <w:pageBreakBefore w:val="0"/>
        <w:numPr>
          <w:ilvl w:val="0"/>
          <w:numId w:val="2"/>
        </w:numPr>
        <w:spacing w:after="0" w:lineRule="auto"/>
        <w:ind w:left="719" w:hanging="360"/>
        <w:rPr/>
      </w:pPr>
      <w:r>
        <w:rPr/>
        <w:t>Performed large-scale data cleanup before testing ranking approaches on records that were technically structured but emotionally still a swamp</w:t>
      </w:r>
    </w:p>
    <w:p w14:paraId="0000001C">
      <w:pPr>
        <w:pageBreakBefore w:val="0"/>
        <w:numPr>
          <w:ilvl w:val="0"/>
          <w:numId w:val="2"/>
        </w:numPr>
        <w:spacing w:after="0" w:lineRule="auto"/>
        <w:ind w:left="719" w:hanging="360"/>
        <w:rPr/>
      </w:pPr>
      <w:r>
        <w:rPr/>
        <w:t>Developed a framework for rapidly trying alternate scoring strategies without rebuilding the entire pipeline every afternoon</w:t>
      </w:r>
    </w:p>
    <w:p w14:paraId="0000001D">
      <w:pPr>
        <w:pageBreakBefore w:val="0"/>
        <w:numPr>
          <w:ilvl w:val="0"/>
          <w:numId w:val="2"/>
        </w:numPr>
        <w:spacing w:after="0" w:lineRule="auto"/>
        <w:ind w:left="719" w:hanging="360"/>
        <w:rPr/>
      </w:pPr>
      <w:r>
        <w:rPr/>
        <w:t>Regularly explained technical tradeoffs and statistical caveats both one-on-one and to rooms full of people with very different tolerance for math</w:t>
      </w:r>
    </w:p>
    <w:p w14:paraId="0000001E">
      <w:pPr>
        <w:pageBreakBefore w:val="0"/>
        <w:numPr>
          <w:ilvl w:val="0"/>
          <w:numId w:val="2"/>
        </w:numPr>
        <w:spacing w:after="0" w:lineRule="auto"/>
        <w:ind w:left="719" w:hanging="360"/>
        <w:rPr/>
      </w:pPr>
      <w:bookmarkStart w:colFirst="0" w:colLast="0" w:name="_heading=h.gjdgxs" w:id="0"/>
      <w:bookmarkEnd w:id="0"/>
      <w:r>
        <w:rPr/>
        <w:t>Standardized a loose collection of exports into a dataset that could actually be audited, queried, and trusted beyond a single heroic analyst</w:t>
      </w:r>
    </w:p>
    <w:p w14:paraId="0000001F">
      <w:pPr>
        <w:pageBreakBefore w:val="0"/>
        <w:spacing w:after="0" w:line="259" w:lineRule="auto"/>
        <w:ind w:left="374" w:firstLine="0"/>
        <w:rPr/>
      </w:pPr>
      <w:r>
        <w:rPr>
          <w:b w:val="1"/>
          <w:rtl w:val="0"/>
        </w:rPr>
        <w:t xml:space="preserve"> </w:t>
      </w:r>
      <w:r>
        <w:rPr>
          <w:rtl w:val="0"/>
        </w:rPr>
      </w:r>
    </w:p>
    <w:p w14:paraId="00000020">
      <w:pPr>
        <w:pageBreakBefore w:val="0"/>
        <w:tabs>
          <w:tab w:val="right" w:pos="9374"/>
        </w:tabs>
        <w:spacing w:after="0" w:line="259" w:lineRule="auto"/>
        <w:ind w:left="0" w:right="-90" w:firstLine="0"/>
        <w:rPr/>
      </w:pPr>
      <w:r>
        <w:rPr>
          <w:b/>
        </w:rPr>
        <w:t>Tutor at Department of Perpetual Equations / Math Help Lair</w:t>
        <w:tab/>
        <w:t>August 2012 – August 2014</w:t>
      </w:r>
    </w:p>
    <w:p w14:paraId="00000021">
      <w:pPr>
        <w:pageBreakBefore w:val="0"/>
        <w:spacing w:after="0" w:lineRule="auto"/>
        <w:ind w:left="24" w:firstLine="374"/>
        <w:rPr/>
      </w:pPr>
      <w:r>
        <w:rPr/>
        <w:t xml:space="preserve">      North Central University of Questionable Science, Castle Pines, NM</w:t>
      </w:r>
    </w:p>
    <w:p w14:paraId="00000022">
      <w:pPr>
        <w:pageBreakBefore w:val="0"/>
        <w:numPr>
          <w:ilvl w:val="0"/>
          <w:numId w:val="2"/>
        </w:numPr>
        <w:spacing w:after="0" w:lineRule="auto"/>
        <w:ind w:left="719" w:hanging="360"/>
        <w:rPr/>
      </w:pPr>
      <w:r>
        <w:rPr/>
        <w:t>Assisted and mentored students with calculus I-III, intro physics, logic, and the deeply personal process of discovering parentheses</w:t>
      </w:r>
    </w:p>
    <w:p w14:paraId="00000023">
      <w:pPr>
        <w:pageBreakBefore w:val="0"/>
        <w:spacing w:after="8" w:line="259" w:lineRule="auto"/>
        <w:ind w:left="360" w:firstLine="0"/>
        <w:rPr/>
      </w:pPr>
      <w:r>
        <w:rPr>
          <w:b w:val="1"/>
          <w:rtl w:val="0"/>
        </w:rPr>
        <w:t xml:space="preserve"> </w:t>
        <w:tab/>
        <w:t xml:space="preserve"> </w:t>
        <w:tab/>
      </w:r>
      <w:r>
        <w:rPr>
          <w:rtl w:val="0"/>
        </w:rPr>
        <w:t xml:space="preserve"> </w:t>
      </w:r>
    </w:p>
    <w:p w14:paraId="00000024">
      <w:pPr>
        <w:pageBreakBefore w:val="0"/>
        <w:spacing w:after="2" w:line="259" w:lineRule="auto"/>
        <w:ind w:left="9" w:hanging="9"/>
        <w:rPr/>
      </w:pPr>
      <w:r>
        <w:rPr>
          <w:b/>
        </w:rPr>
        <w:t>Interstate Compliance Patrol (2005-2011)</w:t>
      </w:r>
    </w:p>
    <w:p w14:paraId="00000025">
      <w:pPr>
        <w:pStyle w:val="Heading1"/>
        <w:pageBreakBefore w:val="0"/>
        <w:ind w:left="9" w:firstLine="14"/>
        <w:rPr/>
      </w:pPr>
      <w:r>
        <w:rPr/>
        <w:t>Standards and Evaluation Goblin Wrangler (2009-2011)</w:t>
      </w:r>
    </w:p>
    <w:p w14:paraId="00000026">
      <w:pPr>
        <w:pageBreakBefore w:val="0"/>
        <w:numPr>
          <w:ilvl w:val="0"/>
          <w:numId w:val="3"/>
        </w:numPr>
        <w:ind w:left="719" w:hanging="360"/>
        <w:rPr/>
      </w:pPr>
      <w:r>
        <w:rPr/>
        <w:t>Automated recurring compliance reminders; reduced accidental policy misses to the point where people had to discover new hobbies</w:t>
      </w:r>
    </w:p>
    <w:p w14:paraId="00000027">
      <w:pPr>
        <w:pStyle w:val="Heading1"/>
        <w:pageBreakBefore w:val="0"/>
        <w:ind w:left="9" w:firstLine="14"/>
        <w:rPr/>
      </w:pPr>
      <w:r>
        <w:rPr/>
        <w:t>Client Systems Custodian (2005-2009)</w:t>
      </w:r>
    </w:p>
    <w:p w14:paraId="00000028">
      <w:pPr>
        <w:pageBreakBefore w:val="0"/>
        <w:numPr>
          <w:ilvl w:val="0"/>
          <w:numId w:val="1"/>
        </w:numPr>
        <w:ind w:left="719" w:hanging="360"/>
        <w:rPr/>
      </w:pPr>
      <w:r>
        <w:rPr/>
        <w:t>Maintained workstation compliance across a busy unit; dozens of machines, no missing baselines, and only the usual amount of printer drama</w:t>
      </w:r>
    </w:p>
    <w:p w14:paraId="00000029">
      <w:pPr>
        <w:pageBreakBefore w:val="0"/>
        <w:spacing w:after="64" w:line="259" w:lineRule="auto"/>
        <w:ind w:left="12" w:firstLine="0"/>
        <w:jc w:val="center"/>
        <w:rPr>
          <w:i w:val="1"/>
        </w:rPr>
      </w:pPr>
      <w:r>
        <w:rPr>
          <w:b/>
          <w:i/>
        </w:rPr>
        <w:t>Languages, Technologies, and Methodologies</w:t>
      </w:r>
    </w:p>
    <w:tbl>
      <w:tblPr>
        <w:tblStyle w:val="Table1"/>
        <w:tblW w:w="8409.0" w:type="dxa"/>
        <w:jc w:val="left"/>
        <w:tblInd w:w="453.99999999999994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03"/>
        <w:gridCol w:w="4206"/>
        <w:tblGridChange w:id="0">
          <w:tblGrid>
            <w:gridCol w:w="4203"/>
            <w:gridCol w:w="4206"/>
          </w:tblGrid>
        </w:tblGridChange>
      </w:tblGrid>
      <w:tr>
        <w:trPr>
          <w:cantSplit w:val="0"/>
          <w:trHeight w:val="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C#/.NET, REST APIs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WPF, WinForms, UI triage</w:t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SQLite, SQL, data cleanup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C++, gRPC, native interop</w:t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Testing, CI, release automation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Python, diagnostics, device protocols</w:t>
            </w:r>
          </w:p>
        </w:tc>
      </w:tr>
    </w:tbl>
    <w:p w14:paraId="00000030">
      <w:pPr>
        <w:pageBreakBefore w:val="0"/>
        <w:spacing w:after="7" w:line="259" w:lineRule="auto"/>
        <w:ind w:left="0" w:firstLine="0"/>
        <w:rPr/>
      </w:pPr>
      <w:r>
        <w:rPr>
          <w:rtl w:val="0"/>
        </w:rPr>
      </w:r>
    </w:p>
    <w:sectPr>
      <w:pgSz w:h="15840" w:w="12240" w:orient="portrait"/>
      <w:pgMar w:bottom="431.99999999999994" w:top="907.2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imes New Roman"/>
  <w:font w:name="Georgia"/>
  <w:font w:name="Arial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•"/>
      <w:lvlJc w:val="left"/>
      <w:pPr>
        <w:ind w:left="719" w:hanging="719"/>
      </w:pPr>
      <w:rPr>
        <w:rFonts w:ascii="Arial" w:cs="Arial" w:eastAsia="Arial" w:hAnsi="Arial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080" w:hanging="1080"/>
      </w:pPr>
      <w:rPr>
        <w:rFonts w:ascii="Arial" w:cs="Arial" w:eastAsia="Arial" w:hAnsi="Arial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1800" w:hanging="1800"/>
      </w:pPr>
      <w:rPr>
        <w:rFonts w:ascii="Arial" w:cs="Arial" w:eastAsia="Arial" w:hAnsi="Arial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2520"/>
      </w:pPr>
      <w:rPr>
        <w:rFonts w:ascii="Arial" w:cs="Arial" w:eastAsia="Arial" w:hAnsi="Arial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240" w:hanging="3240"/>
      </w:pPr>
      <w:rPr>
        <w:rFonts w:ascii="Arial" w:cs="Arial" w:eastAsia="Arial" w:hAnsi="Arial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3960" w:hanging="3960"/>
      </w:pPr>
      <w:rPr>
        <w:rFonts w:ascii="Arial" w:cs="Arial" w:eastAsia="Arial" w:hAnsi="Arial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4680"/>
      </w:pPr>
      <w:rPr>
        <w:rFonts w:ascii="Arial" w:cs="Arial" w:eastAsia="Arial" w:hAnsi="Arial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400" w:hanging="5400"/>
      </w:pPr>
      <w:rPr>
        <w:rFonts w:ascii="Arial" w:cs="Arial" w:eastAsia="Arial" w:hAnsi="Arial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120" w:hanging="6120"/>
      </w:pPr>
      <w:rPr>
        <w:rFonts w:ascii="Arial" w:cs="Arial" w:eastAsia="Arial" w:hAnsi="Arial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•"/>
      <w:lvlJc w:val="left"/>
      <w:pPr>
        <w:ind w:left="719" w:hanging="719"/>
      </w:pPr>
      <w:rPr>
        <w:rFonts w:ascii="Arial" w:cs="Arial" w:eastAsia="Arial" w:hAnsi="Arial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7" w:hanging="1447"/>
      </w:pPr>
      <w:rPr>
        <w:rFonts w:ascii="Arial" w:cs="Arial" w:eastAsia="Arial" w:hAnsi="Arial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7" w:hanging="2167"/>
      </w:pPr>
      <w:rPr>
        <w:rFonts w:ascii="Arial" w:cs="Arial" w:eastAsia="Arial" w:hAnsi="Arial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7" w:hanging="2887"/>
      </w:pPr>
      <w:rPr>
        <w:rFonts w:ascii="Arial" w:cs="Arial" w:eastAsia="Arial" w:hAnsi="Arial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7" w:hanging="3607"/>
      </w:pPr>
      <w:rPr>
        <w:rFonts w:ascii="Arial" w:cs="Arial" w:eastAsia="Arial" w:hAnsi="Arial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7" w:hanging="4327"/>
      </w:pPr>
      <w:rPr>
        <w:rFonts w:ascii="Arial" w:cs="Arial" w:eastAsia="Arial" w:hAnsi="Arial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7" w:hanging="5047"/>
      </w:pPr>
      <w:rPr>
        <w:rFonts w:ascii="Arial" w:cs="Arial" w:eastAsia="Arial" w:hAnsi="Arial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7" w:hanging="5767"/>
      </w:pPr>
      <w:rPr>
        <w:rFonts w:ascii="Arial" w:cs="Arial" w:eastAsia="Arial" w:hAnsi="Arial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7" w:hanging="6487"/>
      </w:pPr>
      <w:rPr>
        <w:rFonts w:ascii="Arial" w:cs="Arial" w:eastAsia="Arial" w:hAnsi="Arial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•"/>
      <w:lvlJc w:val="left"/>
      <w:pPr>
        <w:ind w:left="719" w:hanging="719"/>
      </w:pPr>
      <w:rPr>
        <w:rFonts w:ascii="Arial" w:cs="Arial" w:eastAsia="Arial" w:hAnsi="Arial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5" w:hanging="1445"/>
      </w:pPr>
      <w:rPr>
        <w:rFonts w:ascii="Arial" w:cs="Arial" w:eastAsia="Arial" w:hAnsi="Arial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5" w:hanging="2165"/>
      </w:pPr>
      <w:rPr>
        <w:rFonts w:ascii="Arial" w:cs="Arial" w:eastAsia="Arial" w:hAnsi="Arial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5" w:hanging="2885"/>
      </w:pPr>
      <w:rPr>
        <w:rFonts w:ascii="Arial" w:cs="Arial" w:eastAsia="Arial" w:hAnsi="Arial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5" w:hanging="3605"/>
      </w:pPr>
      <w:rPr>
        <w:rFonts w:ascii="Arial" w:cs="Arial" w:eastAsia="Arial" w:hAnsi="Arial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5" w:hanging="4325"/>
      </w:pPr>
      <w:rPr>
        <w:rFonts w:ascii="Arial" w:cs="Arial" w:eastAsia="Arial" w:hAnsi="Arial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5" w:hanging="5045"/>
      </w:pPr>
      <w:rPr>
        <w:rFonts w:ascii="Arial" w:cs="Arial" w:eastAsia="Arial" w:hAnsi="Arial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5" w:hanging="5765"/>
      </w:pPr>
      <w:rPr>
        <w:rFonts w:ascii="Arial" w:cs="Arial" w:eastAsia="Arial" w:hAnsi="Arial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5" w:hanging="6485"/>
      </w:pPr>
      <w:rPr>
        <w:rFonts w:ascii="Arial" w:cs="Arial" w:eastAsia="Arial" w:hAnsi="Arial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2"/>
        <w:szCs w:val="22"/>
        <w:lang w:val="en-US"/>
      </w:rPr>
    </w:rPrDefault>
    <w:pPrDefault>
      <w:pPr>
        <w:spacing w:after="31" w:line="264" w:lineRule="auto"/>
        <w:ind w:left="384" w:hanging="1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53" w:lineRule="auto"/>
      <w:ind w:left="24" w:hanging="10"/>
    </w:pPr>
    <w:rPr>
      <w:rFonts w:ascii="Times New Roman" w:cs="Times New Roman" w:eastAsia="Times New Roman" w:hAnsi="Times New Roman"/>
      <w:i w:val="1"/>
      <w:color w:val="00000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53" w:before="0" w:line="259" w:lineRule="auto"/>
      <w:ind w:left="24" w:right="0" w:hanging="10"/>
      <w:jc w:val="left"/>
    </w:pPr>
    <w:rPr>
      <w:rFonts w:ascii="Times New Roman" w:cs="Times New Roman" w:eastAsia="Times New Roman" w:hAnsi="Times New Roman"/>
      <w:b w:val="0"/>
      <w:i w:val="1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spacing w:after="31" w:line="264" w:lineRule="auto"/>
      <w:ind w:left="384" w:hanging="10"/>
    </w:pPr>
    <w:rPr>
      <w:rFonts w:ascii="Times New Roman" w:cs="Times New Roman" w:eastAsia="Times New Roman" w:hAnsi="Times New Roman"/>
      <w:color w:val="000000"/>
    </w:rPr>
  </w:style>
  <w:style w:type="paragraph" w:styleId="Heading1">
    <w:name w:val="heading 1"/>
    <w:next w:val="Normal"/>
    <w:link w:val="Heading1Char"/>
    <w:uiPriority w:val="9"/>
    <w:unhideWhenUsed w:val="1"/>
    <w:qFormat w:val="1"/>
    <w:pPr>
      <w:keepNext w:val="1"/>
      <w:keepLines w:val="1"/>
      <w:spacing w:after="53"/>
      <w:ind w:left="24" w:hanging="10"/>
      <w:outlineLvl w:val="0"/>
    </w:pPr>
    <w:rPr>
      <w:rFonts w:ascii="Times New Roman" w:cs="Times New Roman" w:eastAsia="Times New Roman" w:hAnsi="Times New Roman"/>
      <w:i w:val="1"/>
      <w:color w:val="00000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link w:val="Heading1"/>
    <w:rPr>
      <w:rFonts w:ascii="Times New Roman" w:cs="Times New Roman" w:eastAsia="Times New Roman" w:hAnsi="Times New Roman"/>
      <w:i w:val="1"/>
      <w:color w:val="000000"/>
      <w:sz w:val="22"/>
    </w:rPr>
  </w:style>
  <w:style w:type="table" w:styleId="TableGrid" w:customStyle="1">
    <w:name w:val="TableGrid"/>
    <w:pPr>
      <w:spacing w:after="0" w:line="240" w:lineRule="auto"/>
    </w:pPr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Grid0">
    <w:name w:val="Table Grid"/>
    <w:basedOn w:val="TableNormal"/>
    <w:uiPriority w:val="39"/>
    <w:rsid w:val="001233D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5E5FC0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82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If1EMuiIBAs+Etv/xBLgH0aBWqw==">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2016-09-02T03:12:00Z</dcterms:created>
  <dc:creator/>
</cp:coreProperties>
</file>