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3270BF"/>
          <w:sz w:val="26"/>
        </w:rPr>
        <w:t>ASCENTA WEB</w:t>
      </w:r>
    </w:p>
    <w:p>
      <w:pPr>
        <w:spacing w:before="360" w:after="260"/>
      </w:pPr>
      <w:r>
        <w:rPr>
          <w:b/>
          <w:color w:val="001030"/>
          <w:sz w:val="70"/>
        </w:rPr>
        <w:t>Script maestro</w:t>
        <w:br/>
        <w:t>de implementación</w:t>
        <w:br/>
        <w:t>para Codex</w:t>
      </w:r>
    </w:p>
    <w:p>
      <w:pPr>
        <w:pStyle w:val="Metadata"/>
        <w:spacing w:after="380"/>
      </w:pPr>
      <w:r>
        <w:t>De la maqueta original a una experiencia ASCENTA integrada.</w:t>
      </w:r>
    </w:p>
    <w:p>
      <w:pPr>
        <w:keepNext w:val="0"/>
        <w:spacing w:before="100" w:after="60"/>
        <w:jc w:val="center"/>
      </w:pPr>
      <w:r>
        <w:drawing>
          <wp:inline xmlns:a="http://schemas.openxmlformats.org/drawingml/2006/main" xmlns:pic="http://schemas.openxmlformats.org/drawingml/2006/picture">
            <wp:extent cx="6419088" cy="2375815"/>
            <wp:docPr id="1" name="Picture 1" descr="Referencia panorámica original de ASCENTA; sin rediseño." title="Ascenta.Background.png"/>
            <wp:cNvGraphicFramePr>
              <a:graphicFrameLocks noChangeAspect="1"/>
            </wp:cNvGraphicFramePr>
            <a:graphic>
              <a:graphicData uri="http://schemas.openxmlformats.org/drawingml/2006/picture">
                <pic:pic>
                  <pic:nvPicPr>
                    <pic:cNvPr id="0" name="Ascenta.Background.png"/>
                    <pic:cNvPicPr/>
                  </pic:nvPicPr>
                  <pic:blipFill>
                    <a:blip r:embed="rId12"/>
                    <a:stretch>
                      <a:fillRect/>
                    </a:stretch>
                  </pic:blipFill>
                  <pic:spPr>
                    <a:xfrm>
                      <a:off x="0" y="0"/>
                      <a:ext cx="6419088" cy="2375815"/>
                    </a:xfrm>
                    <a:prstGeom prst="rect"/>
                  </pic:spPr>
                </pic:pic>
              </a:graphicData>
            </a:graphic>
          </wp:inline>
        </w:drawing>
      </w:r>
    </w:p>
    <w:p>
      <w:pPr>
        <w:pStyle w:val="Metadata"/>
        <w:spacing w:before="360"/>
      </w:pPr>
      <w:r>
        <w:t>VERSIÓN 2.0  /  5 DE OCTUBRE DE 2026</w:t>
      </w:r>
    </w:p>
    <w:p>
      <w:pPr>
        <w:pStyle w:val="Metadata"/>
      </w:pPr>
      <w:r>
        <w:t>Isaac Taveras y equipo de ASCENTA</w:t>
        <w:br/>
        <w:t>Repositorio: IsaacT400/Ascenta.Web</w:t>
      </w:r>
    </w:p>
    <w:p>
      <w:pPr>
        <w:pStyle w:val="Metadata"/>
        <w:spacing w:before="120"/>
      </w:pPr>
      <w:r>
        <w:t>37 secciones · 99 casos de aceptación · 11 figuras en el cuerpo</w:t>
        <w:br/>
        <w:t>Identidad · Home · Cuentas · Viajes · Portales · Operación · Pruebas · Git</w:t>
      </w:r>
    </w:p>
    <w:p>
      <w:pPr>
        <w:pStyle w:val="Callout"/>
        <w:shd w:fill="F7F9FD"/>
      </w:pPr>
      <w:r>
        <w:t>Encargo para el agente que implemente dentro del workspace original. No es un programa para PowerShell ni evidencia de una aplicación ya compilada.</w:t>
      </w:r>
    </w:p>
    <w:p>
      <w:r>
        <w:br w:type="page"/>
      </w:r>
    </w:p>
    <w:p>
      <w:pPr>
        <w:pStyle w:val="Heading1"/>
      </w:pPr>
      <w:r>
        <w:t>Mapa de lectura y uso</w:t>
      </w:r>
    </w:p>
    <w:p>
      <w:r>
        <w:t>La versión Markdown es el archivo operativo para Codex. Este Word conserva su cuerpo y reproduce las figuras para revisión. Los archivos de referencia se entregan por separado dentro del kit; las imágenes no sustituyen los activos originales ni una prueba funcional.</w:t>
      </w:r>
    </w:p>
    <w:p>
      <w:pPr>
        <w:keepNext/>
        <w:spacing w:before="160"/>
      </w:pPr>
      <w:r>
        <w:rPr>
          <w:b/>
        </w:rPr>
        <w:t>00–04  |  Mandato, fuentes, conflictos y base</w:t>
      </w:r>
    </w:p>
    <w:p>
      <w:r>
        <w:t>Qué implementar; qué conservar; cómo proteger trabajo vigente.</w:t>
      </w:r>
    </w:p>
    <w:p>
      <w:pPr>
        <w:keepNext/>
        <w:spacing w:before="160"/>
      </w:pPr>
      <w:r>
        <w:rPr>
          <w:b/>
        </w:rPr>
        <w:t>05–07  |  Identidad y referencias visuales</w:t>
      </w:r>
    </w:p>
    <w:p>
      <w:r>
        <w:t>Originales, anatomía del logo, paleta, medidas y usos.</w:t>
      </w:r>
    </w:p>
    <w:p>
      <w:pPr>
        <w:keepNext/>
        <w:spacing w:before="160"/>
      </w:pPr>
      <w:r>
        <w:rPr>
          <w:b/>
        </w:rPr>
        <w:t>08–14  |  Arquitectura y experiencia pública</w:t>
      </w:r>
    </w:p>
    <w:p>
      <w:r>
        <w:t>Estado persistente, rutas, navegación, Home, movimiento y componentes.</w:t>
      </w:r>
    </w:p>
    <w:p>
      <w:pPr>
        <w:keepNext/>
        <w:spacing w:before="160"/>
      </w:pPr>
      <w:r>
        <w:rPr>
          <w:b/>
        </w:rPr>
        <w:t>15–24  |  Viaje, identidad y operación</w:t>
      </w:r>
    </w:p>
    <w:p>
      <w:r>
        <w:t>Borrador, fecha/zona, cuenta, permisos, portales, cotización, API y datos.</w:t>
      </w:r>
    </w:p>
    <w:p>
      <w:pPr>
        <w:keepNext/>
        <w:spacing w:before="160"/>
      </w:pPr>
      <w:r>
        <w:rPr>
          <w:b/>
        </w:rPr>
        <w:t>25–29  |  Calidad y orden de ejecución</w:t>
      </w:r>
    </w:p>
    <w:p>
      <w:r>
        <w:t>Accesibilidad, responsive, rendimiento, archivos, lotes y 99 casos QA.</w:t>
      </w:r>
    </w:p>
    <w:p>
      <w:pPr>
        <w:keepNext/>
        <w:spacing w:before="160"/>
      </w:pPr>
      <w:r>
        <w:rPr>
          <w:b/>
        </w:rPr>
        <w:t>30–36  |  Entrega, continuidad y límites</w:t>
      </w:r>
    </w:p>
    <w:p>
      <w:r>
        <w:t>Rama, commits, pruebas, pasos locales, pendientes y fuentes.</w:t>
      </w:r>
    </w:p>
    <w:p>
      <w:pPr>
        <w:pStyle w:val="Heading2"/>
      </w:pPr>
      <w:r>
        <w:t>Cómo abrir el trabajo</w:t>
      </w:r>
    </w:p>
    <w:p>
      <w:r>
        <w:t>Extrae el kit en una carpeta de referencias accesible desde el workspace y excluida de Git. Utiliza 00_INICIO_PARA_CODEX.txt para iniciar el encargo. No ejecutes los CMD ni integradores de los paquetes históricos. Lee las reglas AGENTS ya existentes antes de añadir instrucciones.</w:t>
      </w:r>
    </w:p>
    <w:p>
      <w:pPr>
        <w:pStyle w:val="Heading2"/>
      </w:pPr>
      <w:r>
        <w:t>Tres distinciones obligatorias</w:t>
      </w:r>
    </w:p>
    <w:p>
      <w:r>
        <w:t>Los documentos iniciales fijan identidad y requisitos; las referencias posteriores aportan diseño y código candidato.</w:t>
      </w:r>
    </w:p>
    <w:p>
      <w:r>
        <w:t>Una prueba histórica, una captura o una revisión portátil no validan automáticamente el workspace nativo ni MySQL.</w:t>
      </w:r>
    </w:p>
    <w:p>
      <w:r>
        <w:t>Completar desarrollo revisable no autoriza disponibilidad comercial, pagos, proveedores ni publicación del sitio.</w:t>
      </w:r>
    </w:p>
    <w:p>
      <w:r>
        <w:br w:type="page"/>
      </w:r>
    </w:p>
    <w:p>
      <w:pPr>
        <w:pStyle w:val="Callout"/>
        <w:shd w:fill="F7F9FD"/>
      </w:pPr>
      <w:r>
        <w:t>TRANSFORMAR LA MAQUETA ORIGINAL. IMPLEMENTAR LOS DISEÑOS. CONSERVAR LA INGENIERÍA ÚTIL. PROBAR LOS RECORRIDOS REALES.</w:t>
      </w:r>
    </w:p>
    <w:p>
      <w:r>
        <w:t>Este archivo es un encargo de trabajo para Codex, no un programa que se pega en PowerShell. Es la especificación integral de esta entrega. La versión Word contiene el mismo cuerpo y las referencias visuales incrustadas. Los documentos iniciales, imágenes y código candidato se adjuntan para consulta; no son instrucciones de ejecutar instaladores ni de sustituir el repositorio completo.</w:t>
      </w:r>
    </w:p>
    <w:p>
      <w:pPr>
        <w:pStyle w:val="Heading1"/>
      </w:pPr>
      <w:r>
        <w:t>00. Mandato de ejecución</w:t>
      </w:r>
    </w:p>
    <w:p>
      <w:r>
        <w:t xml:space="preserve">Trabaja dentro del proyecto original </w:t>
      </w:r>
      <w:r>
        <w:rPr>
          <w:rFonts w:ascii="Liberation Mono" w:hAnsi="Liberation Mono"/>
          <w:color w:val="001030"/>
          <w:sz w:val="18"/>
        </w:rPr>
        <w:t>IsaacT400/Ascenta.Web</w:t>
      </w:r>
      <w:r>
        <w:t>. Tu tarea no es generar otra maqueta, otro HTML autónomo, una segunda aplicación de React ni otro informe que termine antes de implementar. Debes convertir la maqueta inicial en la experiencia ASCENTA descrita aquí, incorporando los diseños de las referencias y cerrando los recorridos de desarrollo que pueden comprobarse sin proveedores comerciales.</w:t>
      </w:r>
    </w:p>
    <w:p>
      <w:r>
        <w:t>Primero identifica el estado real del workspace, protege cambios existentes y compara la base con las referencias. Después presenta un diagnóstico inicial breve y continúa con la implementación por lotes. No dediques la mayor parte del encargo a repetir una auditoría ya documentada. Si un componente ya cumple el requisito, reutilízalo y compruébalo; si existe una implementación candidata válida, adáptala al proyecto en vez de reescribirla por preferencia personal.</w:t>
      </w:r>
    </w:p>
    <w:p>
      <w:r>
        <w:t>Entrega una aplicación revisable sobre el runtime nativo del repositorio, con identidad transversal, Home y páginas públicas, navegación contextual, movimiento editorial, borrador de viaje consistente, datos editables, cuentas y sesión, portal del cliente y recepción operativa de solicitudes. Cada función presentada como operativa debe tener un recorrido real, con servidor y persistencia cuando corresponda. No presentes un toast de éxito como sustituto de una operación no realizada.</w:t>
      </w:r>
    </w:p>
    <w:p>
      <w:r>
        <w:t xml:space="preserve">Trabaja en una rama separada. El objetivo de entrega incluye commits revisables y, cuando el acceso autorizado lo permita, su publicación en esa rama y un pull request contra la base correcta. No hagas merge en </w:t>
      </w:r>
      <w:r>
        <w:rPr>
          <w:rFonts w:ascii="Liberation Mono" w:hAnsi="Liberation Mono"/>
          <w:color w:val="001030"/>
          <w:sz w:val="18"/>
        </w:rPr>
        <w:t>main</w:t>
      </w:r>
      <w:r>
        <w:t>, no fuerces una referencia, no publiques el sitio comercial, no contrates servicios y no ejecutes cargos ni comunicaciones a clientes reales. Una rama publicada no equivale a un despliegue aprobado.</w:t>
      </w:r>
    </w:p>
    <w:p>
      <w:r>
        <w:rPr>
          <w:b/>
        </w:rPr>
        <w:t>No detengas toda la implementación porque falte un dato comercial.</w:t>
      </w:r>
      <w:r>
        <w:t xml:space="preserve"> Continúa con estructura, diseño, validación técnica, contratos y pruebas aisladas. Solo bloquea la capacidad concreta que dependa de ese dato. Al mismo tiempo, no declares completado un módulo que únicamente tiene pantallas sin su operación correspondiente.</w:t>
      </w:r>
    </w:p>
    <w:p>
      <w:r>
        <w:rPr>
          <w:b/>
        </w:rPr>
        <w:t>Alcance de este documento:</w:t>
      </w:r>
      <w:r>
        <w:t xml:space="preserve"> prepara el trabajo futuro. No acredita que el proyecto original ya compile, que MySQL haya sido validado, que las pruebas históricas hayan sido repetidas ni que exista una rama remota nueva.</w:t>
      </w:r>
    </w:p>
    <w:p>
      <w:pPr>
        <w:pStyle w:val="Heading1"/>
      </w:pPr>
      <w:r>
        <w:t>01. Fuentes, autoridad y estados</w:t>
      </w:r>
    </w:p>
    <w:p>
      <w:pPr>
        <w:pStyle w:val="Heading2"/>
      </w:pPr>
      <w:r>
        <w:t>01.1 Fuentes incluidas y cómo utilizarlas</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893"/>
        <w:gridCol w:w="4248"/>
        <w:gridCol w:w="4968"/>
      </w:tblGrid>
      <w:tr>
        <w:trPr>
          <w:cantSplit/>
          <w:tblHeader/>
        </w:trPr>
        <w:tc>
          <w:tcPr>
            <w:tcW w:type="dxa" w:w="893"/>
            <w:vAlign w:val="center"/>
            <w:shd w:fill="001030"/>
          </w:tcPr>
          <w:p>
            <w:pPr>
              <w:pStyle w:val="TableBody"/>
            </w:pPr>
            <w:r>
              <w:rPr>
                <w:b/>
                <w:color w:val="FFFFFF"/>
                <w:sz w:val="18"/>
              </w:rPr>
              <w:t>ID</w:t>
            </w:r>
          </w:p>
        </w:tc>
        <w:tc>
          <w:tcPr>
            <w:tcW w:type="dxa" w:w="4248"/>
            <w:vAlign w:val="center"/>
            <w:shd w:fill="001030"/>
          </w:tcPr>
          <w:p>
            <w:pPr>
              <w:pStyle w:val="TableBody"/>
            </w:pPr>
            <w:r>
              <w:rPr>
                <w:b/>
                <w:color w:val="FFFFFF"/>
                <w:sz w:val="18"/>
              </w:rPr>
              <w:t>Fuente</w:t>
            </w:r>
          </w:p>
        </w:tc>
        <w:tc>
          <w:tcPr>
            <w:tcW w:type="dxa" w:w="4968"/>
            <w:vAlign w:val="center"/>
            <w:shd w:fill="001030"/>
          </w:tcPr>
          <w:p>
            <w:pPr>
              <w:pStyle w:val="TableBody"/>
            </w:pPr>
            <w:r>
              <w:rPr>
                <w:b/>
                <w:color w:val="FFFFFF"/>
                <w:sz w:val="18"/>
              </w:rPr>
              <w:t>Función y límite</w:t>
            </w:r>
          </w:p>
        </w:tc>
      </w:tr>
      <w:tr>
        <w:trPr>
          <w:cantSplit/>
        </w:trPr>
        <w:tc>
          <w:tcPr>
            <w:tcW w:type="dxa" w:w="893"/>
            <w:vAlign w:val="center"/>
            <w:shd w:fill="F7F9FD"/>
          </w:tcPr>
          <w:p>
            <w:pPr>
              <w:pStyle w:val="TableBody"/>
            </w:pPr>
            <w:r>
              <w:rPr>
                <w:sz w:val="18"/>
              </w:rPr>
              <w:t>D01</w:t>
            </w:r>
          </w:p>
        </w:tc>
        <w:tc>
          <w:tcPr>
            <w:tcW w:type="dxa" w:w="4248"/>
            <w:vAlign w:val="center"/>
            <w:shd w:fill="F7F9FD"/>
          </w:tcPr>
          <w:p>
            <w:pPr>
              <w:pStyle w:val="TableBody"/>
            </w:pPr>
            <w:r>
              <w:rPr>
                <w:rFonts w:ascii="Liberation Mono" w:hAnsi="Liberation Mono"/>
                <w:color w:val="001030"/>
                <w:sz w:val="18"/>
              </w:rPr>
              <w:t>02_REFERENCIAS/ASCENTA_Documento_Maestro_Identidad_y_Web_v1.0.docx</w:t>
            </w:r>
          </w:p>
        </w:tc>
        <w:tc>
          <w:tcPr>
            <w:tcW w:type="dxa" w:w="4968"/>
            <w:vAlign w:val="center"/>
            <w:shd w:fill="F7F9FD"/>
          </w:tcPr>
          <w:p>
            <w:pPr>
              <w:pStyle w:val="TableBody"/>
            </w:pPr>
            <w:r>
              <w:rPr>
                <w:sz w:val="18"/>
              </w:rPr>
              <w:t>Identidad, anatomía del logo, paleta, lenguaje visual y decisiones de marca. No es una web implementada.</w:t>
            </w:r>
          </w:p>
        </w:tc>
      </w:tr>
      <w:tr>
        <w:trPr>
          <w:cantSplit/>
        </w:trPr>
        <w:tc>
          <w:tcPr>
            <w:tcW w:type="dxa" w:w="893"/>
            <w:vAlign w:val="center"/>
            <w:shd w:fill="FFFFFF"/>
          </w:tcPr>
          <w:p>
            <w:pPr>
              <w:pStyle w:val="TableBody"/>
            </w:pPr>
            <w:r>
              <w:rPr>
                <w:sz w:val="18"/>
              </w:rPr>
              <w:t>D02</w:t>
            </w:r>
          </w:p>
        </w:tc>
        <w:tc>
          <w:tcPr>
            <w:tcW w:type="dxa" w:w="4248"/>
            <w:vAlign w:val="center"/>
            <w:shd w:fill="FFFFFF"/>
          </w:tcPr>
          <w:p>
            <w:pPr>
              <w:pStyle w:val="TableBody"/>
            </w:pPr>
            <w:r>
              <w:rPr>
                <w:rFonts w:ascii="Liberation Mono" w:hAnsi="Liberation Mono"/>
                <w:color w:val="001030"/>
                <w:sz w:val="18"/>
              </w:rPr>
              <w:t>02_REFERENCIAS/ASCENTA_WEB_Documento_Maestro_Continuidad_v1.0_2026-10-05.docx</w:t>
            </w:r>
          </w:p>
        </w:tc>
        <w:tc>
          <w:tcPr>
            <w:tcW w:type="dxa" w:w="4968"/>
            <w:vAlign w:val="center"/>
            <w:shd w:fill="FFFFFF"/>
          </w:tcPr>
          <w:p>
            <w:pPr>
              <w:pStyle w:val="TableBody"/>
            </w:pPr>
            <w:r>
              <w:rPr>
                <w:sz w:val="18"/>
              </w:rPr>
              <w:t>Mandato confirmado, capturas de Blacklane, auditoría estática, ocho rutas originales, matriz por archivo y etapas A–H.</w:t>
            </w:r>
          </w:p>
        </w:tc>
      </w:tr>
      <w:tr>
        <w:trPr>
          <w:cantSplit/>
        </w:trPr>
        <w:tc>
          <w:tcPr>
            <w:tcW w:type="dxa" w:w="893"/>
            <w:vAlign w:val="center"/>
            <w:shd w:fill="F7F9FD"/>
          </w:tcPr>
          <w:p>
            <w:pPr>
              <w:pStyle w:val="TableBody"/>
            </w:pPr>
            <w:r>
              <w:rPr>
                <w:sz w:val="18"/>
              </w:rPr>
              <w:t>D03</w:t>
            </w:r>
          </w:p>
        </w:tc>
        <w:tc>
          <w:tcPr>
            <w:tcW w:type="dxa" w:w="4248"/>
            <w:vAlign w:val="center"/>
            <w:shd w:fill="F7F9FD"/>
          </w:tcPr>
          <w:p>
            <w:pPr>
              <w:pStyle w:val="TableBody"/>
            </w:pPr>
            <w:r>
              <w:rPr>
                <w:rFonts w:ascii="Liberation Mono" w:hAnsi="Liberation Mono"/>
                <w:color w:val="001030"/>
                <w:sz w:val="18"/>
              </w:rPr>
              <w:t>02_REFERENCIAS/historial/Ascenta_Script_Maestro_Codex.md</w:t>
            </w:r>
          </w:p>
        </w:tc>
        <w:tc>
          <w:tcPr>
            <w:tcW w:type="dxa" w:w="4968"/>
            <w:vAlign w:val="center"/>
            <w:shd w:fill="F7F9FD"/>
          </w:tcPr>
          <w:p>
            <w:pPr>
              <w:pStyle w:val="TableBody"/>
            </w:pPr>
            <w:r>
              <w:rPr>
                <w:sz w:val="18"/>
              </w:rPr>
              <w:t>Antecedente del 17 de septiembre: detalle de formularios, accesibilidad, idiomas, integraciones y pruebas. Sus colores, hero y decisiones abiertas antiguos no prevalecen sobre D01/D02.</w:t>
            </w:r>
          </w:p>
        </w:tc>
      </w:tr>
      <w:tr>
        <w:trPr>
          <w:cantSplit/>
        </w:trPr>
        <w:tc>
          <w:tcPr>
            <w:tcW w:type="dxa" w:w="893"/>
            <w:vAlign w:val="center"/>
            <w:shd w:fill="FFFFFF"/>
          </w:tcPr>
          <w:p>
            <w:pPr>
              <w:pStyle w:val="TableBody"/>
            </w:pPr>
            <w:r>
              <w:rPr>
                <w:sz w:val="18"/>
              </w:rPr>
              <w:t>D04</w:t>
            </w:r>
          </w:p>
        </w:tc>
        <w:tc>
          <w:tcPr>
            <w:tcW w:type="dxa" w:w="4248"/>
            <w:vAlign w:val="center"/>
            <w:shd w:fill="FFFFFF"/>
          </w:tcPr>
          <w:p>
            <w:pPr>
              <w:pStyle w:val="TableBody"/>
            </w:pPr>
            <w:r>
              <w:rPr>
                <w:rFonts w:ascii="Liberation Mono" w:hAnsi="Liberation Mono"/>
                <w:color w:val="001030"/>
                <w:sz w:val="18"/>
              </w:rPr>
              <w:t>02_REFERENCIAS/historial/ASCENTA_Registro_Maestro_v0.2.md</w:t>
            </w:r>
          </w:p>
        </w:tc>
        <w:tc>
          <w:tcPr>
            <w:tcW w:type="dxa" w:w="4968"/>
            <w:vAlign w:val="center"/>
            <w:shd w:fill="FFFFFF"/>
          </w:tcPr>
          <w:p>
            <w:pPr>
              <w:pStyle w:val="TableBody"/>
            </w:pPr>
            <w:r>
              <w:rPr>
                <w:sz w:val="18"/>
              </w:rPr>
              <w:t>Trazabilidad de la aprobación cromática y análisis del logo del 5 de octubre.</w:t>
            </w:r>
          </w:p>
        </w:tc>
      </w:tr>
      <w:tr>
        <w:trPr>
          <w:cantSplit/>
        </w:trPr>
        <w:tc>
          <w:tcPr>
            <w:tcW w:type="dxa" w:w="893"/>
            <w:vAlign w:val="center"/>
            <w:shd w:fill="F7F9FD"/>
          </w:tcPr>
          <w:p>
            <w:pPr>
              <w:pStyle w:val="TableBody"/>
            </w:pPr>
            <w:r>
              <w:rPr>
                <w:sz w:val="18"/>
              </w:rPr>
              <w:t>V01</w:t>
            </w:r>
          </w:p>
        </w:tc>
        <w:tc>
          <w:tcPr>
            <w:tcW w:type="dxa" w:w="4248"/>
            <w:vAlign w:val="center"/>
            <w:shd w:fill="F7F9FD"/>
          </w:tcPr>
          <w:p>
            <w:pPr>
              <w:pStyle w:val="TableBody"/>
            </w:pPr>
            <w:r>
              <w:rPr>
                <w:rFonts w:ascii="Liberation Mono" w:hAnsi="Liberation Mono"/>
                <w:color w:val="001030"/>
                <w:sz w:val="18"/>
              </w:rPr>
              <w:t>03_IMAGENES/Ascenta-Logo.png</w:t>
            </w:r>
          </w:p>
        </w:tc>
        <w:tc>
          <w:tcPr>
            <w:tcW w:type="dxa" w:w="4968"/>
            <w:vAlign w:val="center"/>
            <w:shd w:fill="F7F9FD"/>
          </w:tcPr>
          <w:p>
            <w:pPr>
              <w:pStyle w:val="TableBody"/>
            </w:pPr>
            <w:r>
              <w:rPr>
                <w:sz w:val="18"/>
              </w:rPr>
              <w:t>Original de marca, sin rediseño. Es un raster RGB con fondo.</w:t>
            </w:r>
          </w:p>
        </w:tc>
      </w:tr>
      <w:tr>
        <w:trPr>
          <w:cantSplit/>
        </w:trPr>
        <w:tc>
          <w:tcPr>
            <w:tcW w:type="dxa" w:w="893"/>
            <w:vAlign w:val="center"/>
            <w:shd w:fill="FFFFFF"/>
          </w:tcPr>
          <w:p>
            <w:pPr>
              <w:pStyle w:val="TableBody"/>
            </w:pPr>
            <w:r>
              <w:rPr>
                <w:sz w:val="18"/>
              </w:rPr>
              <w:t>V02</w:t>
            </w:r>
          </w:p>
        </w:tc>
        <w:tc>
          <w:tcPr>
            <w:tcW w:type="dxa" w:w="4248"/>
            <w:vAlign w:val="center"/>
            <w:shd w:fill="FFFFFF"/>
          </w:tcPr>
          <w:p>
            <w:pPr>
              <w:pStyle w:val="TableBody"/>
            </w:pPr>
            <w:r>
              <w:rPr>
                <w:rFonts w:ascii="Liberation Mono" w:hAnsi="Liberation Mono"/>
                <w:color w:val="001030"/>
                <w:sz w:val="18"/>
              </w:rPr>
              <w:t>03_IMAGENES/Ascenta.Background.png</w:t>
            </w:r>
          </w:p>
        </w:tc>
        <w:tc>
          <w:tcPr>
            <w:tcW w:type="dxa" w:w="4968"/>
            <w:vAlign w:val="center"/>
            <w:shd w:fill="FFFFFF"/>
          </w:tcPr>
          <w:p>
            <w:pPr>
              <w:pStyle w:val="TableBody"/>
            </w:pPr>
            <w:r>
              <w:rPr>
                <w:sz w:val="18"/>
              </w:rPr>
              <w:t>Referencia panorámica de atmósfera y mensajes. No pegar como una interfaz completa.</w:t>
            </w:r>
          </w:p>
        </w:tc>
      </w:tr>
      <w:tr>
        <w:trPr>
          <w:cantSplit/>
        </w:trPr>
        <w:tc>
          <w:tcPr>
            <w:tcW w:type="dxa" w:w="893"/>
            <w:vAlign w:val="center"/>
            <w:shd w:fill="F7F9FD"/>
          </w:tcPr>
          <w:p>
            <w:pPr>
              <w:pStyle w:val="TableBody"/>
            </w:pPr>
            <w:r>
              <w:rPr>
                <w:sz w:val="18"/>
              </w:rPr>
              <w:t>V03–V05</w:t>
            </w:r>
          </w:p>
        </w:tc>
        <w:tc>
          <w:tcPr>
            <w:tcW w:type="dxa" w:w="4248"/>
            <w:vAlign w:val="center"/>
            <w:shd w:fill="F7F9FD"/>
          </w:tcPr>
          <w:p>
            <w:pPr>
              <w:pStyle w:val="TableBody"/>
            </w:pPr>
            <w:r>
              <w:rPr>
                <w:rFonts w:ascii="Liberation Mono" w:hAnsi="Liberation Mono"/>
                <w:color w:val="001030"/>
                <w:sz w:val="18"/>
              </w:rPr>
              <w:t>03_IMAGENES/Blacklane-Referencia-01.png</w:t>
            </w:r>
            <w:r>
              <w:rPr>
                <w:sz w:val="18"/>
              </w:rPr>
              <w:t xml:space="preserve"> a </w:t>
            </w:r>
            <w:r>
              <w:rPr>
                <w:rFonts w:ascii="Liberation Mono" w:hAnsi="Liberation Mono"/>
                <w:color w:val="001030"/>
                <w:sz w:val="18"/>
              </w:rPr>
              <w:t>03.png</w:t>
            </w:r>
          </w:p>
        </w:tc>
        <w:tc>
          <w:tcPr>
            <w:tcW w:type="dxa" w:w="4968"/>
            <w:vAlign w:val="center"/>
            <w:shd w:fill="F7F9FD"/>
          </w:tcPr>
          <w:p>
            <w:pPr>
              <w:pStyle w:val="TableBody"/>
            </w:pPr>
            <w:r>
              <w:rPr>
                <w:sz w:val="18"/>
              </w:rPr>
              <w:t>Capturas extraídas de D02. Referencia de composición y experiencia; nunca activos de publicación de ASCENTA.</w:t>
            </w:r>
          </w:p>
        </w:tc>
      </w:tr>
      <w:tr>
        <w:trPr>
          <w:cantSplit/>
        </w:trPr>
        <w:tc>
          <w:tcPr>
            <w:tcW w:type="dxa" w:w="893"/>
            <w:vAlign w:val="center"/>
            <w:shd w:fill="FFFFFF"/>
          </w:tcPr>
          <w:p>
            <w:pPr>
              <w:pStyle w:val="TableBody"/>
            </w:pPr>
            <w:r>
              <w:rPr>
                <w:sz w:val="18"/>
              </w:rPr>
              <w:t>V06–V07</w:t>
            </w:r>
          </w:p>
        </w:tc>
        <w:tc>
          <w:tcPr>
            <w:tcW w:type="dxa" w:w="4248"/>
            <w:vAlign w:val="center"/>
            <w:shd w:fill="FFFFFF"/>
          </w:tcPr>
          <w:p>
            <w:pPr>
              <w:pStyle w:val="TableBody"/>
            </w:pPr>
            <w:r>
              <w:rPr>
                <w:rFonts w:ascii="Liberation Mono" w:hAnsi="Liberation Mono"/>
                <w:color w:val="001030"/>
                <w:sz w:val="18"/>
              </w:rPr>
              <w:t>03_IMAGENES/ASCENTA-Home-Escritorio.png</w:t>
            </w:r>
            <w:r>
              <w:rPr>
                <w:sz w:val="18"/>
              </w:rPr>
              <w:t xml:space="preserve"> y </w:t>
            </w:r>
            <w:r>
              <w:rPr>
                <w:rFonts w:ascii="Liberation Mono" w:hAnsi="Liberation Mono"/>
                <w:color w:val="001030"/>
                <w:sz w:val="18"/>
              </w:rPr>
              <w:t>ASCENTA-Home-Movil.png</w:t>
            </w:r>
          </w:p>
        </w:tc>
        <w:tc>
          <w:tcPr>
            <w:tcW w:type="dxa" w:w="4968"/>
            <w:vAlign w:val="center"/>
            <w:shd w:fill="FFFFFF"/>
          </w:tcPr>
          <w:p>
            <w:pPr>
              <w:pStyle w:val="TableBody"/>
            </w:pPr>
            <w:r>
              <w:rPr>
                <w:sz w:val="18"/>
              </w:rPr>
              <w:t>Capturas del Site local posterior. Objetivo visual de adaptación; los avisos del HTML portátil no forman parte de la web comercial.</w:t>
            </w:r>
          </w:p>
        </w:tc>
      </w:tr>
      <w:tr>
        <w:trPr>
          <w:cantSplit/>
        </w:trPr>
        <w:tc>
          <w:tcPr>
            <w:tcW w:type="dxa" w:w="893"/>
            <w:vAlign w:val="center"/>
            <w:shd w:fill="F7F9FD"/>
          </w:tcPr>
          <w:p>
            <w:pPr>
              <w:pStyle w:val="TableBody"/>
            </w:pPr>
            <w:r>
              <w:rPr>
                <w:sz w:val="18"/>
              </w:rPr>
              <w:t>V08–V13</w:t>
            </w:r>
          </w:p>
        </w:tc>
        <w:tc>
          <w:tcPr>
            <w:tcW w:type="dxa" w:w="4248"/>
            <w:vAlign w:val="center"/>
            <w:shd w:fill="F7F9FD"/>
          </w:tcPr>
          <w:p>
            <w:pPr>
              <w:pStyle w:val="TableBody"/>
            </w:pPr>
            <w:r>
              <w:rPr>
                <w:sz w:val="18"/>
              </w:rPr>
              <w:t xml:space="preserve">Home completa, Home móvil completa, Booking, Registro, Cuenta y Operaciones en </w:t>
            </w:r>
            <w:r>
              <w:rPr>
                <w:rFonts w:ascii="Liberation Mono" w:hAnsi="Liberation Mono"/>
                <w:color w:val="001030"/>
                <w:sz w:val="18"/>
              </w:rPr>
              <w:t>03_IMAGENES</w:t>
            </w:r>
          </w:p>
        </w:tc>
        <w:tc>
          <w:tcPr>
            <w:tcW w:type="dxa" w:w="4968"/>
            <w:vAlign w:val="center"/>
            <w:shd w:fill="F7F9FD"/>
          </w:tcPr>
          <w:p>
            <w:pPr>
              <w:pStyle w:val="TableBody"/>
            </w:pPr>
            <w:r>
              <w:rPr>
                <w:sz w:val="18"/>
              </w:rPr>
              <w:t>Evidencia visual de la revisión anterior, con ejemplos de desarrollo. No prueba nueva del framework original.</w:t>
            </w:r>
          </w:p>
        </w:tc>
      </w:tr>
      <w:tr>
        <w:trPr>
          <w:cantSplit/>
        </w:trPr>
        <w:tc>
          <w:tcPr>
            <w:tcW w:type="dxa" w:w="893"/>
            <w:vAlign w:val="center"/>
            <w:shd w:fill="FFFFFF"/>
          </w:tcPr>
          <w:p>
            <w:pPr>
              <w:pStyle w:val="TableBody"/>
            </w:pPr>
            <w:r>
              <w:rPr>
                <w:sz w:val="18"/>
              </w:rPr>
              <w:t>C01</w:t>
            </w:r>
          </w:p>
        </w:tc>
        <w:tc>
          <w:tcPr>
            <w:tcW w:type="dxa" w:w="4248"/>
            <w:vAlign w:val="center"/>
            <w:shd w:fill="FFFFFF"/>
          </w:tcPr>
          <w:p>
            <w:pPr>
              <w:pStyle w:val="TableBody"/>
            </w:pPr>
            <w:r>
              <w:rPr>
                <w:rFonts w:ascii="Liberation Mono" w:hAnsi="Liberation Mono"/>
                <w:color w:val="001030"/>
                <w:sz w:val="18"/>
              </w:rPr>
              <w:t>04_CODIGO_REFERENCIA/ASCENTA-Site-Local.html</w:t>
            </w:r>
          </w:p>
        </w:tc>
        <w:tc>
          <w:tcPr>
            <w:tcW w:type="dxa" w:w="4968"/>
            <w:vAlign w:val="center"/>
            <w:shd w:fill="FFFFFF"/>
          </w:tcPr>
          <w:p>
            <w:pPr>
              <w:pStyle w:val="TableBody"/>
            </w:pPr>
            <w:r>
              <w:rPr>
                <w:sz w:val="18"/>
              </w:rPr>
              <w:t>Referencia navegable de diseño y comportamiento visual. No es la arquitectura de destino.</w:t>
            </w:r>
          </w:p>
        </w:tc>
      </w:tr>
      <w:tr>
        <w:trPr>
          <w:cantSplit/>
        </w:trPr>
        <w:tc>
          <w:tcPr>
            <w:tcW w:type="dxa" w:w="893"/>
            <w:vAlign w:val="center"/>
            <w:shd w:fill="F7F9FD"/>
          </w:tcPr>
          <w:p>
            <w:pPr>
              <w:pStyle w:val="TableBody"/>
            </w:pPr>
            <w:r>
              <w:rPr>
                <w:sz w:val="18"/>
              </w:rPr>
              <w:t>C02</w:t>
            </w:r>
          </w:p>
        </w:tc>
        <w:tc>
          <w:tcPr>
            <w:tcW w:type="dxa" w:w="4248"/>
            <w:vAlign w:val="center"/>
            <w:shd w:fill="F7F9FD"/>
          </w:tcPr>
          <w:p>
            <w:pPr>
              <w:pStyle w:val="TableBody"/>
            </w:pPr>
            <w:r>
              <w:rPr>
                <w:rFonts w:ascii="Liberation Mono" w:hAnsi="Liberation Mono"/>
                <w:color w:val="001030"/>
                <w:sz w:val="18"/>
              </w:rPr>
              <w:t>04_CODIGO_REFERENCIA/ASCENTA-Actualizacion-Repo.zip</w:t>
            </w:r>
          </w:p>
        </w:tc>
        <w:tc>
          <w:tcPr>
            <w:tcW w:type="dxa" w:w="4968"/>
            <w:vAlign w:val="center"/>
            <w:shd w:fill="F7F9FD"/>
          </w:tcPr>
          <w:p>
            <w:pPr>
              <w:pStyle w:val="TableBody"/>
            </w:pPr>
            <w:r>
              <w:rPr>
                <w:sz w:val="18"/>
              </w:rPr>
              <w:t xml:space="preserve">Adaptación candidata preparada anteriormente. Abrir, leer y comparar; no ejecutar </w:t>
            </w:r>
            <w:r>
              <w:rPr>
                <w:rFonts w:ascii="Liberation Mono" w:hAnsi="Liberation Mono"/>
                <w:color w:val="001030"/>
                <w:sz w:val="18"/>
              </w:rPr>
              <w:t>APLICAR-Y-SUBIR.cmd</w:t>
            </w:r>
            <w:r>
              <w:rPr>
                <w:sz w:val="18"/>
              </w:rPr>
              <w:t xml:space="preserve"> ni el integrador a ciegas.</w:t>
            </w:r>
          </w:p>
        </w:tc>
      </w:tr>
      <w:tr>
        <w:trPr>
          <w:cantSplit/>
        </w:trPr>
        <w:tc>
          <w:tcPr>
            <w:tcW w:type="dxa" w:w="893"/>
            <w:vAlign w:val="center"/>
            <w:shd w:fill="FFFFFF"/>
          </w:tcPr>
          <w:p>
            <w:pPr>
              <w:pStyle w:val="TableBody"/>
            </w:pPr>
            <w:r>
              <w:rPr>
                <w:sz w:val="18"/>
              </w:rPr>
              <w:t>C03</w:t>
            </w:r>
          </w:p>
        </w:tc>
        <w:tc>
          <w:tcPr>
            <w:tcW w:type="dxa" w:w="4248"/>
            <w:vAlign w:val="center"/>
            <w:shd w:fill="FFFFFF"/>
          </w:tcPr>
          <w:p>
            <w:pPr>
              <w:pStyle w:val="TableBody"/>
            </w:pPr>
            <w:r>
              <w:rPr>
                <w:rFonts w:ascii="Liberation Mono" w:hAnsi="Liberation Mono"/>
                <w:color w:val="001030"/>
                <w:sz w:val="18"/>
              </w:rPr>
              <w:t>04_CODIGO_REFERENCIA/componentes-candidatos/</w:t>
            </w:r>
            <w:r>
              <w:rPr>
                <w:sz w:val="18"/>
              </w:rPr>
              <w:t xml:space="preserve"> y </w:t>
            </w:r>
            <w:r>
              <w:rPr>
                <w:rFonts w:ascii="Liberation Mono" w:hAnsi="Liberation Mono"/>
                <w:color w:val="001030"/>
                <w:sz w:val="18"/>
              </w:rPr>
              <w:t>ascenta-referencia.css</w:t>
            </w:r>
          </w:p>
        </w:tc>
        <w:tc>
          <w:tcPr>
            <w:tcW w:type="dxa" w:w="4968"/>
            <w:vAlign w:val="center"/>
            <w:shd w:fill="FFFFFF"/>
          </w:tcPr>
          <w:p>
            <w:pPr>
              <w:pStyle w:val="TableBody"/>
            </w:pPr>
            <w:r>
              <w:rPr>
                <w:sz w:val="18"/>
              </w:rPr>
              <w:t>Copias legibles de los componentes y estilos candidatos para comparación sin instalar. No constituyen una aprobación de toda su lógica.</w:t>
            </w:r>
          </w:p>
        </w:tc>
      </w:tr>
      <w:tr>
        <w:trPr>
          <w:cantSplit/>
        </w:trPr>
        <w:tc>
          <w:tcPr>
            <w:tcW w:type="dxa" w:w="893"/>
            <w:vAlign w:val="center"/>
            <w:shd w:fill="F7F9FD"/>
          </w:tcPr>
          <w:p>
            <w:pPr>
              <w:pStyle w:val="TableBody"/>
            </w:pPr>
            <w:r>
              <w:rPr>
                <w:sz w:val="18"/>
              </w:rPr>
              <w:t>C04</w:t>
            </w:r>
          </w:p>
        </w:tc>
        <w:tc>
          <w:tcPr>
            <w:tcW w:type="dxa" w:w="4248"/>
            <w:vAlign w:val="center"/>
            <w:shd w:fill="F7F9FD"/>
          </w:tcPr>
          <w:p>
            <w:pPr>
              <w:pStyle w:val="TableBody"/>
            </w:pPr>
            <w:r>
              <w:rPr>
                <w:rFonts w:ascii="Liberation Mono" w:hAnsi="Liberation Mono"/>
                <w:color w:val="001030"/>
                <w:sz w:val="18"/>
              </w:rPr>
              <w:t>04_CODIGO_REFERENCIA/RESULTADO-ANTERIOR.md</w:t>
            </w:r>
          </w:p>
        </w:tc>
        <w:tc>
          <w:tcPr>
            <w:tcW w:type="dxa" w:w="4968"/>
            <w:vAlign w:val="center"/>
            <w:shd w:fill="F7F9FD"/>
          </w:tcPr>
          <w:p>
            <w:pPr>
              <w:pStyle w:val="TableBody"/>
            </w:pPr>
            <w:r>
              <w:rPr>
                <w:sz w:val="18"/>
              </w:rPr>
              <w:t>Declara alcance y límites de la adaptación previa. Sus conteos de pruebas son históricos.</w:t>
            </w:r>
          </w:p>
        </w:tc>
      </w:tr>
      <w:tr>
        <w:trPr>
          <w:cantSplit/>
        </w:trPr>
        <w:tc>
          <w:tcPr>
            <w:tcW w:type="dxa" w:w="893"/>
            <w:vAlign w:val="center"/>
            <w:shd w:fill="FFFFFF"/>
          </w:tcPr>
          <w:p>
            <w:pPr>
              <w:pStyle w:val="TableBody"/>
            </w:pPr>
            <w:r>
              <w:rPr>
                <w:sz w:val="18"/>
              </w:rPr>
              <w:t>R01</w:t>
            </w:r>
          </w:p>
        </w:tc>
        <w:tc>
          <w:tcPr>
            <w:tcW w:type="dxa" w:w="4248"/>
            <w:vAlign w:val="center"/>
            <w:shd w:fill="FFFFFF"/>
          </w:tcPr>
          <w:p>
            <w:pPr>
              <w:pStyle w:val="TableBody"/>
            </w:pPr>
            <w:r>
              <w:rPr>
                <w:sz w:val="18"/>
              </w:rPr>
              <w:t>Repositorio real, rama, HEAD, cambios locales y configuración efectiva</w:t>
            </w:r>
          </w:p>
        </w:tc>
        <w:tc>
          <w:tcPr>
            <w:tcW w:type="dxa" w:w="4968"/>
            <w:vAlign w:val="center"/>
            <w:shd w:fill="FFFFFF"/>
          </w:tcPr>
          <w:p>
            <w:pPr>
              <w:pStyle w:val="TableBody"/>
            </w:pPr>
            <w:r>
              <w:rPr>
                <w:sz w:val="18"/>
              </w:rPr>
              <w:t>Fuente de verdad del código disponible. Debe inspeccionarse antes de intervenir.</w:t>
            </w:r>
          </w:p>
        </w:tc>
      </w:tr>
      <w:tr>
        <w:trPr>
          <w:cantSplit/>
        </w:trPr>
        <w:tc>
          <w:tcPr>
            <w:tcW w:type="dxa" w:w="893"/>
            <w:vAlign w:val="center"/>
            <w:shd w:fill="F7F9FD"/>
          </w:tcPr>
          <w:p>
            <w:pPr>
              <w:pStyle w:val="TableBody"/>
            </w:pPr>
            <w:r>
              <w:rPr>
                <w:sz w:val="18"/>
              </w:rPr>
              <w:t>H01</w:t>
            </w:r>
          </w:p>
        </w:tc>
        <w:tc>
          <w:tcPr>
            <w:tcW w:type="dxa" w:w="4248"/>
            <w:vAlign w:val="center"/>
            <w:shd w:fill="F7F9FD"/>
          </w:tcPr>
          <w:p>
            <w:pPr>
              <w:pStyle w:val="TableBody"/>
            </w:pPr>
            <w:r>
              <w:rPr>
                <w:sz w:val="18"/>
              </w:rPr>
              <w:t>Conversación actual y decisiones recuperables de los dos chats anteriores</w:t>
            </w:r>
          </w:p>
        </w:tc>
        <w:tc>
          <w:tcPr>
            <w:tcW w:type="dxa" w:w="4968"/>
            <w:vAlign w:val="center"/>
            <w:shd w:fill="F7F9FD"/>
          </w:tcPr>
          <w:p>
            <w:pPr>
              <w:pStyle w:val="TableBody"/>
            </w:pPr>
            <w:r>
              <w:rPr>
                <w:sz w:val="18"/>
              </w:rPr>
              <w:t>Contexto de intención. Los dos maestros son síntesis, no transcripciones literales completas.</w:t>
            </w:r>
          </w:p>
        </w:tc>
      </w:tr>
    </w:tbl>
    <w:p>
      <w:pPr>
        <w:spacing w:after="40"/>
      </w:pPr>
    </w:p>
    <w:p>
      <w:r>
        <w:t xml:space="preserve">Las extracciones </w:t>
      </w:r>
      <w:r>
        <w:rPr>
          <w:rFonts w:ascii="Liberation Mono" w:hAnsi="Liberation Mono"/>
          <w:color w:val="001030"/>
          <w:sz w:val="18"/>
        </w:rPr>
        <w:t>D01_TEXTO.md</w:t>
      </w:r>
      <w:r>
        <w:t xml:space="preserve"> y </w:t>
      </w:r>
      <w:r>
        <w:rPr>
          <w:rFonts w:ascii="Liberation Mono" w:hAnsi="Liberation Mono"/>
          <w:color w:val="001030"/>
          <w:sz w:val="18"/>
        </w:rPr>
        <w:t>D02_TEXTO.md</w:t>
      </w:r>
      <w:r>
        <w:t xml:space="preserve"> facilitan la lectura textual. Para interpretar imágenes, usa los Word y los PNG. No afirmes haber leído una figura solo porque leíste su pie. Comprueba que los archivos están disponibles y anota cualquier ausencia concreta.</w:t>
      </w:r>
    </w:p>
    <w:p>
      <w:pPr>
        <w:pStyle w:val="Heading2"/>
      </w:pPr>
      <w:r>
        <w:t>01.2 Jerarquía que debes respetar</w:t>
      </w:r>
    </w:p>
    <w:p>
      <w:r>
        <w:t>Primero, instrucciones actuales de Isaac y activos de identidad expresamente aprobados. Segundo, este encargo para organizar la implementación solicitada. Tercero, D01 para identidad y D02 para requisitos y diagnóstico de la maqueta. Cuarto, Site local y código candidato como referencias visuales y material reutilizable. Por último, antecedentes de septiembre y documentos antiguos del repositorio.</w:t>
      </w:r>
    </w:p>
    <w:p>
      <w:r>
        <w:t>El código real puede haber avanzado y no debe sobrescribirse para hacerlo coincidir con una auditoría antigua. Una implementación posterior tampoco puede reemplazar silenciosamente un color o el logo aprobado. Cuando haya conflicto, registra los dos hechos, el criterio adoptado y su origen; no lo resuelvas fingiendo que ambas fuentes decían lo mismo.</w:t>
      </w:r>
    </w:p>
    <w:p>
      <w:pPr>
        <w:pStyle w:val="Heading2"/>
      </w:pPr>
      <w:r>
        <w:t>01.3 Estados de trabajo</w:t>
      </w:r>
    </w:p>
    <w:p>
      <w:r>
        <w:t xml:space="preserve">Usa estos estados en la documentación interna: </w:t>
      </w:r>
      <w:r>
        <w:rPr>
          <w:b/>
        </w:rPr>
        <w:t>CONFIRMADO</w:t>
      </w:r>
      <w:r>
        <w:t xml:space="preserve">, </w:t>
      </w:r>
      <w:r>
        <w:rPr>
          <w:b/>
        </w:rPr>
        <w:t>OBSERVADO</w:t>
      </w:r>
      <w:r>
        <w:t xml:space="preserve">, </w:t>
      </w:r>
      <w:r>
        <w:rPr>
          <w:b/>
        </w:rPr>
        <w:t>PROPUESTO TÉCNICO</w:t>
      </w:r>
      <w:r>
        <w:t xml:space="preserve">, </w:t>
      </w:r>
      <w:r>
        <w:rPr>
          <w:b/>
        </w:rPr>
        <w:t>PENDIENTE COMERCIAL</w:t>
      </w:r>
      <w:r>
        <w:t xml:space="preserve"> e </w:t>
      </w:r>
      <w:r>
        <w:rPr>
          <w:b/>
        </w:rPr>
        <w:t>HISTÓRICO</w:t>
      </w:r>
      <w:r>
        <w:t>. Separa además el estado de ejecución: pendiente, en curso, implementado sin verificar, verificado o bloqueado.</w:t>
      </w:r>
    </w:p>
    <w:p>
      <w:r>
        <w:t>Las precisiones nuevas de arquitectura, pruebas, seguridad y valores de interfaz de este guion son criterios técnicos propuestos para materializar el encargo. No se atribuyen retrospectivamente a Isaac ni a Blacklane. Pueden desarrollarse en la rama de revisión si son reversibles y coherentes con el mandato; no constituyen autorización para precios, políticas, proveedores, nueva marca o producción.</w:t>
      </w:r>
    </w:p>
    <w:p>
      <w:pPr>
        <w:pStyle w:val="Heading1"/>
      </w:pPr>
      <w:r>
        <w:t>02. Decisiones que se conservan y conflictos que no debes reintroducir</w:t>
      </w:r>
    </w:p>
    <w:p>
      <w:r>
        <w:rPr>
          <w:b/>
        </w:rPr>
        <w:t>Base confirmada:</w:t>
      </w:r>
      <w:r>
        <w:t xml:space="preserve"> ASCENTA; descriptor </w:t>
      </w:r>
      <w:r>
        <w:rPr>
          <w:rFonts w:ascii="Liberation Mono" w:hAnsi="Liberation Mono"/>
          <w:color w:val="001030"/>
          <w:sz w:val="18"/>
        </w:rPr>
        <w:t>EXECUTIVE TRANSPORTATION</w:t>
      </w:r>
      <w:r>
        <w:t xml:space="preserve">; logo original; cuatro colores </w:t>
      </w:r>
      <w:r>
        <w:rPr>
          <w:rFonts w:ascii="Liberation Mono" w:hAnsi="Liberation Mono"/>
          <w:color w:val="001030"/>
          <w:sz w:val="18"/>
        </w:rPr>
        <w:t>#001030</w:t>
      </w:r>
      <w:r>
        <w:t xml:space="preserve">, </w:t>
      </w:r>
      <w:r>
        <w:rPr>
          <w:rFonts w:ascii="Liberation Mono" w:hAnsi="Liberation Mono"/>
          <w:color w:val="001030"/>
          <w:sz w:val="18"/>
        </w:rPr>
        <w:t>#3270BF</w:t>
      </w:r>
      <w:r>
        <w:t xml:space="preserve">, </w:t>
      </w:r>
      <w:r>
        <w:rPr>
          <w:rFonts w:ascii="Liberation Mono" w:hAnsi="Liberation Mono"/>
          <w:color w:val="001030"/>
          <w:sz w:val="18"/>
        </w:rPr>
        <w:t>#92BEF2</w:t>
      </w:r>
      <w:r>
        <w:t xml:space="preserve">, </w:t>
      </w:r>
      <w:r>
        <w:rPr>
          <w:rFonts w:ascii="Liberation Mono" w:hAnsi="Liberation Mono"/>
          <w:color w:val="001030"/>
          <w:sz w:val="18"/>
        </w:rPr>
        <w:t>#C6DEFC</w:t>
      </w:r>
      <w:r>
        <w:t>; calidad, modernidad, profesionalidad, delicadeza y cuidado profundo del detalle. ASCENTA no hereda la identidad de CHARIS. Blacklane es referencia de experiencia, no material que deba copiarse. [D01 §01, §05, §12; D02 parte I §04–05]</w:t>
      </w:r>
    </w:p>
    <w:p>
      <w:r>
        <w:rPr>
          <w:b/>
        </w:rPr>
        <w:t>Requisitos de experiencia documentados:</w:t>
      </w:r>
      <w:r>
        <w:t xml:space="preserve"> portada limpia y protagonista; menú persistente, translúcido y adaptable; contraste del logo; título selectivo que disminuye y desaparece al bajar y se recupera al subir; entradas laterales elegantes; prioridad alta al acceso y registro mínimos; aprovechar la maqueta en vez de comenzar desde cero. [D02 parte I §04]</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Conflicto de antecedentes</w:t>
            </w:r>
          </w:p>
        </w:tc>
        <w:tc>
          <w:tcPr>
            <w:tcW w:type="dxa" w:w="7229"/>
            <w:vAlign w:val="center"/>
            <w:shd w:fill="001030"/>
          </w:tcPr>
          <w:p>
            <w:pPr>
              <w:pStyle w:val="TableBody"/>
            </w:pPr>
            <w:r>
              <w:rPr>
                <w:b/>
                <w:color w:val="FFFFFF"/>
                <w:sz w:val="18"/>
              </w:rPr>
              <w:t>Criterio para esta implementación</w:t>
            </w:r>
          </w:p>
        </w:tc>
      </w:tr>
      <w:tr>
        <w:trPr>
          <w:cantSplit/>
        </w:trPr>
        <w:tc>
          <w:tcPr>
            <w:tcW w:type="dxa" w:w="2880"/>
            <w:vAlign w:val="center"/>
            <w:shd w:fill="F7F9FD"/>
          </w:tcPr>
          <w:p>
            <w:pPr>
              <w:pStyle w:val="TableBody"/>
            </w:pPr>
            <w:r>
              <w:rPr>
                <w:sz w:val="18"/>
              </w:rPr>
              <w:t>Septiembre trataba colores como provisionales.</w:t>
            </w:r>
          </w:p>
        </w:tc>
        <w:tc>
          <w:tcPr>
            <w:tcW w:type="dxa" w:w="7229"/>
            <w:vAlign w:val="center"/>
            <w:shd w:fill="F7F9FD"/>
          </w:tcPr>
          <w:p>
            <w:pPr>
              <w:pStyle w:val="TableBody"/>
            </w:pPr>
            <w:r>
              <w:rPr>
                <w:sz w:val="18"/>
              </w:rPr>
              <w:t>La paleta de cuatro valores quedó aprobada después. No volver a pedir una selección cromática general.</w:t>
            </w:r>
          </w:p>
        </w:tc>
      </w:tr>
      <w:tr>
        <w:trPr>
          <w:cantSplit/>
        </w:trPr>
        <w:tc>
          <w:tcPr>
            <w:tcW w:type="dxa" w:w="2880"/>
            <w:vAlign w:val="center"/>
            <w:shd w:fill="FFFFFF"/>
          </w:tcPr>
          <w:p>
            <w:pPr>
              <w:pStyle w:val="TableBody"/>
            </w:pPr>
            <w:r>
              <w:rPr>
                <w:sz w:val="18"/>
              </w:rPr>
              <w:t>El starter ordenaba conservar petróleo, marfil y champagne.</w:t>
            </w:r>
          </w:p>
        </w:tc>
        <w:tc>
          <w:tcPr>
            <w:tcW w:type="dxa" w:w="7229"/>
            <w:vAlign w:val="center"/>
            <w:shd w:fill="FFFFFF"/>
          </w:tcPr>
          <w:p>
            <w:pPr>
              <w:pStyle w:val="TableBody"/>
            </w:pPr>
            <w:r>
              <w:rPr>
                <w:sz w:val="18"/>
              </w:rPr>
              <w:t>Sustituir esa identidad provisional por los colores de ASCENTA mediante tokens semánticos, no un reemplazo masivo de HEX.</w:t>
            </w:r>
          </w:p>
        </w:tc>
      </w:tr>
      <w:tr>
        <w:trPr>
          <w:cantSplit/>
        </w:trPr>
        <w:tc>
          <w:tcPr>
            <w:tcW w:type="dxa" w:w="2880"/>
            <w:vAlign w:val="center"/>
            <w:shd w:fill="F7F9FD"/>
          </w:tcPr>
          <w:p>
            <w:pPr>
              <w:pStyle w:val="TableBody"/>
            </w:pPr>
            <w:r>
              <w:rPr>
                <w:sz w:val="18"/>
              </w:rPr>
              <w:t>El primer hero propuesto tenía texto a la izquierda y tarjeta grande a la derecha.</w:t>
            </w:r>
          </w:p>
        </w:tc>
        <w:tc>
          <w:tcPr>
            <w:tcW w:type="dxa" w:w="7229"/>
            <w:vAlign w:val="center"/>
            <w:shd w:fill="F7F9FD"/>
          </w:tcPr>
          <w:p>
            <w:pPr>
              <w:pStyle w:val="TableBody"/>
            </w:pPr>
            <w:r>
              <w:rPr>
                <w:sz w:val="18"/>
              </w:rPr>
              <w:t>El criterio posterior y el Site local usan fotografía dominante, titular central y barra de viaje integrada. Ese es el objetivo visual de esta adaptación.</w:t>
            </w:r>
          </w:p>
        </w:tc>
      </w:tr>
      <w:tr>
        <w:trPr>
          <w:cantSplit/>
        </w:trPr>
        <w:tc>
          <w:tcPr>
            <w:tcW w:type="dxa" w:w="2880"/>
            <w:vAlign w:val="center"/>
            <w:shd w:fill="FFFFFF"/>
          </w:tcPr>
          <w:p>
            <w:pPr>
              <w:pStyle w:val="TableBody"/>
            </w:pPr>
            <w:r>
              <w:rPr>
                <w:sz w:val="18"/>
              </w:rPr>
              <w:t>Algunos documentos proponen CTA marino; el CSS posterior usa azul de acento.</w:t>
            </w:r>
          </w:p>
        </w:tc>
        <w:tc>
          <w:tcPr>
            <w:tcW w:type="dxa" w:w="7229"/>
            <w:vAlign w:val="center"/>
            <w:shd w:fill="FFFFFF"/>
          </w:tcPr>
          <w:p>
            <w:pPr>
              <w:pStyle w:val="TableBody"/>
            </w:pPr>
            <w:r>
              <w:rPr>
                <w:sz w:val="18"/>
              </w:rPr>
              <w:t>Mantener la función primaria destacada del diseño posterior, documentar la asignación y comprobar contraste. La asignación es técnica; los cuatro valores de marca no cambian.</w:t>
            </w:r>
          </w:p>
        </w:tc>
      </w:tr>
      <w:tr>
        <w:trPr>
          <w:cantSplit/>
        </w:trPr>
        <w:tc>
          <w:tcPr>
            <w:tcW w:type="dxa" w:w="2880"/>
            <w:vAlign w:val="center"/>
            <w:shd w:fill="F7F9FD"/>
          </w:tcPr>
          <w:p>
            <w:pPr>
              <w:pStyle w:val="TableBody"/>
            </w:pPr>
            <w:r>
              <w:rPr>
                <w:sz w:val="18"/>
              </w:rPr>
              <w:t>Se sugirieron distintas tipografías como si fueran candidatas de marca.</w:t>
            </w:r>
          </w:p>
        </w:tc>
        <w:tc>
          <w:tcPr>
            <w:tcW w:type="dxa" w:w="7229"/>
            <w:vAlign w:val="center"/>
            <w:shd w:fill="F7F9FD"/>
          </w:tcPr>
          <w:p>
            <w:pPr>
              <w:pStyle w:val="TableBody"/>
            </w:pPr>
            <w:r>
              <w:rPr>
                <w:sz w:val="18"/>
              </w:rPr>
              <w:t>Ninguna familia oficial está confirmada. Inter y Playfair son provisionales del código; no reconstruyen el logo.</w:t>
            </w:r>
          </w:p>
        </w:tc>
      </w:tr>
      <w:tr>
        <w:trPr>
          <w:cantSplit/>
        </w:trPr>
        <w:tc>
          <w:tcPr>
            <w:tcW w:type="dxa" w:w="2880"/>
            <w:vAlign w:val="center"/>
            <w:shd w:fill="FFFFFF"/>
          </w:tcPr>
          <w:p>
            <w:pPr>
              <w:pStyle w:val="TableBody"/>
            </w:pPr>
            <w:r>
              <w:rPr>
                <w:sz w:val="18"/>
              </w:rPr>
              <w:t>Un registro inicial pedía apellido y teléfono inmediatamente.</w:t>
            </w:r>
          </w:p>
        </w:tc>
        <w:tc>
          <w:tcPr>
            <w:tcW w:type="dxa" w:w="7229"/>
            <w:vAlign w:val="center"/>
            <w:shd w:fill="FFFFFF"/>
          </w:tcPr>
          <w:p>
            <w:pPr>
              <w:pStyle w:val="TableBody"/>
            </w:pPr>
            <w:r>
              <w:rPr>
                <w:sz w:val="18"/>
              </w:rPr>
              <w:t>Minimizar el alta básica. Solicitar los datos adicionales cuando el viaje o una integración real los necesite.</w:t>
            </w:r>
          </w:p>
        </w:tc>
      </w:tr>
      <w:tr>
        <w:trPr>
          <w:cantSplit/>
        </w:trPr>
        <w:tc>
          <w:tcPr>
            <w:tcW w:type="dxa" w:w="2880"/>
            <w:vAlign w:val="center"/>
            <w:shd w:fill="F7F9FD"/>
          </w:tcPr>
          <w:p>
            <w:pPr>
              <w:pStyle w:val="TableBody"/>
            </w:pPr>
            <w:r>
              <w:rPr>
                <w:sz w:val="18"/>
              </w:rPr>
              <w:t xml:space="preserve">Había propuestas de </w:t>
            </w:r>
            <w:r>
              <w:rPr>
                <w:rFonts w:ascii="Liberation Mono" w:hAnsi="Liberation Mono"/>
                <w:color w:val="001030"/>
                <w:sz w:val="18"/>
              </w:rPr>
              <w:t>/book</w:t>
            </w:r>
            <w:r>
              <w:rPr>
                <w:sz w:val="18"/>
              </w:rPr>
              <w:t xml:space="preserve">, </w:t>
            </w:r>
            <w:r>
              <w:rPr>
                <w:rFonts w:ascii="Liberation Mono" w:hAnsi="Liberation Mono"/>
                <w:color w:val="001030"/>
                <w:sz w:val="18"/>
              </w:rPr>
              <w:t>/sign-in</w:t>
            </w:r>
            <w:r>
              <w:rPr>
                <w:sz w:val="18"/>
              </w:rPr>
              <w:t xml:space="preserve">, </w:t>
            </w:r>
            <w:r>
              <w:rPr>
                <w:rFonts w:ascii="Liberation Mono" w:hAnsi="Liberation Mono"/>
                <w:color w:val="001030"/>
                <w:sz w:val="18"/>
              </w:rPr>
              <w:t>/en/</w:t>
            </w:r>
            <w:r>
              <w:rPr>
                <w:sz w:val="18"/>
              </w:rPr>
              <w:t xml:space="preserve"> y </w:t>
            </w:r>
            <w:r>
              <w:rPr>
                <w:rFonts w:ascii="Liberation Mono" w:hAnsi="Liberation Mono"/>
                <w:color w:val="001030"/>
                <w:sz w:val="18"/>
              </w:rPr>
              <w:t>/account</w:t>
            </w:r>
            <w:r>
              <w:rPr>
                <w:sz w:val="18"/>
              </w:rPr>
              <w:t>.</w:t>
            </w:r>
          </w:p>
        </w:tc>
        <w:tc>
          <w:tcPr>
            <w:tcW w:type="dxa" w:w="7229"/>
            <w:vAlign w:val="center"/>
            <w:shd w:fill="F7F9FD"/>
          </w:tcPr>
          <w:p>
            <w:pPr>
              <w:pStyle w:val="TableBody"/>
            </w:pPr>
            <w:r>
              <w:rPr>
                <w:sz w:val="18"/>
              </w:rPr>
              <w:t>Conservar las rutas originales útiles y adaptar las nuevas mediante el router existente. No migrar URLs por inercia.</w:t>
            </w:r>
          </w:p>
        </w:tc>
      </w:tr>
      <w:tr>
        <w:trPr>
          <w:cantSplit/>
        </w:trPr>
        <w:tc>
          <w:tcPr>
            <w:tcW w:type="dxa" w:w="2880"/>
            <w:vAlign w:val="center"/>
            <w:shd w:fill="FFFFFF"/>
          </w:tcPr>
          <w:p>
            <w:pPr>
              <w:pStyle w:val="TableBody"/>
            </w:pPr>
            <w:r>
              <w:rPr>
                <w:sz w:val="18"/>
              </w:rPr>
              <w:t>Se describió un posible panel administrativo por renovar.</w:t>
            </w:r>
          </w:p>
        </w:tc>
        <w:tc>
          <w:tcPr>
            <w:tcW w:type="dxa" w:w="7229"/>
            <w:vAlign w:val="center"/>
            <w:shd w:fill="FFFFFF"/>
          </w:tcPr>
          <w:p>
            <w:pPr>
              <w:pStyle w:val="TableBody"/>
            </w:pPr>
            <w:r>
              <w:rPr>
                <w:sz w:val="18"/>
              </w:rPr>
              <w:t>La auditoría original no encontró uno. La revisión posterior aporta una implementación candidata, no un panel histórico ya probado con MySQL.</w:t>
            </w:r>
          </w:p>
        </w:tc>
      </w:tr>
      <w:tr>
        <w:trPr>
          <w:cantSplit/>
        </w:trPr>
        <w:tc>
          <w:tcPr>
            <w:tcW w:type="dxa" w:w="2880"/>
            <w:vAlign w:val="center"/>
            <w:shd w:fill="F7F9FD"/>
          </w:tcPr>
          <w:p>
            <w:pPr>
              <w:pStyle w:val="TableBody"/>
            </w:pPr>
            <w:r>
              <w:rPr>
                <w:sz w:val="18"/>
              </w:rPr>
              <w:t>El HTML local permite navegar pero no guardar en servidor.</w:t>
            </w:r>
          </w:p>
        </w:tc>
        <w:tc>
          <w:tcPr>
            <w:tcW w:type="dxa" w:w="7229"/>
            <w:vAlign w:val="center"/>
            <w:shd w:fill="F7F9FD"/>
          </w:tcPr>
          <w:p>
            <w:pPr>
              <w:pStyle w:val="TableBody"/>
            </w:pPr>
            <w:r>
              <w:rPr>
                <w:sz w:val="18"/>
              </w:rPr>
              <w:t>Sus limitaciones no se trasladan como estado final de la web integrada. El flujo integrado debe conectarse a operaciones reales del entorno de prueba.</w:t>
            </w:r>
          </w:p>
        </w:tc>
      </w:tr>
      <w:tr>
        <w:trPr>
          <w:cantSplit/>
        </w:trPr>
        <w:tc>
          <w:tcPr>
            <w:tcW w:type="dxa" w:w="2880"/>
            <w:vAlign w:val="center"/>
            <w:shd w:fill="FFFFFF"/>
          </w:tcPr>
          <w:p>
            <w:pPr>
              <w:pStyle w:val="TableBody"/>
            </w:pPr>
            <w:r>
              <w:rPr>
                <w:sz w:val="18"/>
              </w:rPr>
              <w:t>Un paquete temprano proponía retirar v1 con respuestas 410.</w:t>
            </w:r>
          </w:p>
        </w:tc>
        <w:tc>
          <w:tcPr>
            <w:tcW w:type="dxa" w:w="7229"/>
            <w:vAlign w:val="center"/>
            <w:shd w:fill="FFFFFF"/>
          </w:tcPr>
          <w:p>
            <w:pPr>
              <w:pStyle w:val="TableBody"/>
            </w:pPr>
            <w:r>
              <w:rPr>
                <w:sz w:val="18"/>
              </w:rPr>
              <w:t>La adaptación posterior corrigió ese enfoque. No deshabilitar v1 en bloque ni crear incompatibilidad silenciosa.</w:t>
            </w:r>
          </w:p>
        </w:tc>
      </w:tr>
      <w:tr>
        <w:trPr>
          <w:cantSplit/>
        </w:trPr>
        <w:tc>
          <w:tcPr>
            <w:tcW w:type="dxa" w:w="2880"/>
            <w:vAlign w:val="center"/>
            <w:shd w:fill="F7F9FD"/>
          </w:tcPr>
          <w:p>
            <w:pPr>
              <w:pStyle w:val="TableBody"/>
            </w:pPr>
            <w:r>
              <w:rPr>
                <w:sz w:val="18"/>
              </w:rPr>
              <w:t>La adaptación posterior añade cookies y API v2 separadas.</w:t>
            </w:r>
          </w:p>
        </w:tc>
        <w:tc>
          <w:tcPr>
            <w:tcW w:type="dxa" w:w="7229"/>
            <w:vAlign w:val="center"/>
            <w:shd w:fill="F7F9FD"/>
          </w:tcPr>
          <w:p>
            <w:pPr>
              <w:pStyle w:val="TableBody"/>
            </w:pPr>
            <w:r>
              <w:rPr>
                <w:sz w:val="18"/>
              </w:rPr>
              <w:t>Es una opción técnica a reconciliar, no prueba de sesión unificada ni razón para duplicar cuentas. Debe existir una estrategia explícita de compatibilidad.</w:t>
            </w:r>
          </w:p>
        </w:tc>
      </w:tr>
      <w:tr>
        <w:trPr>
          <w:cantSplit/>
        </w:trPr>
        <w:tc>
          <w:tcPr>
            <w:tcW w:type="dxa" w:w="2880"/>
            <w:vAlign w:val="center"/>
            <w:shd w:fill="FFFFFF"/>
          </w:tcPr>
          <w:p>
            <w:pPr>
              <w:pStyle w:val="TableBody"/>
            </w:pPr>
            <w:r>
              <w:rPr>
                <w:sz w:val="18"/>
              </w:rPr>
              <w:t>Los informes anteriores enumeran pruebas y capturas.</w:t>
            </w:r>
          </w:p>
        </w:tc>
        <w:tc>
          <w:tcPr>
            <w:tcW w:type="dxa" w:w="7229"/>
            <w:vAlign w:val="center"/>
            <w:shd w:fill="FFFFFF"/>
          </w:tcPr>
          <w:p>
            <w:pPr>
              <w:pStyle w:val="TableBody"/>
            </w:pPr>
            <w:r>
              <w:rPr>
                <w:sz w:val="18"/>
              </w:rPr>
              <w:t>Conservarlos como historial; ejecutar evidencia nueva sobre el commit y runtime que entregues.</w:t>
            </w:r>
          </w:p>
        </w:tc>
      </w:tr>
      <w:tr>
        <w:trPr>
          <w:cantSplit/>
        </w:trPr>
        <w:tc>
          <w:tcPr>
            <w:tcW w:type="dxa" w:w="2880"/>
            <w:vAlign w:val="center"/>
            <w:shd w:fill="F7F9FD"/>
          </w:tcPr>
          <w:p>
            <w:pPr>
              <w:pStyle w:val="TableBody"/>
            </w:pPr>
            <w:r>
              <w:rPr>
                <w:sz w:val="18"/>
              </w:rPr>
              <w:t>Se mencionaron Apollo, HubSpot y Moovs.</w:t>
            </w:r>
          </w:p>
        </w:tc>
        <w:tc>
          <w:tcPr>
            <w:tcW w:type="dxa" w:w="7229"/>
            <w:vAlign w:val="center"/>
            <w:shd w:fill="F7F9FD"/>
          </w:tcPr>
          <w:p>
            <w:pPr>
              <w:pStyle w:val="TableBody"/>
            </w:pPr>
            <w:r>
              <w:rPr>
                <w:sz w:val="18"/>
              </w:rPr>
              <w:t>Son arquitectura prevista en el antecedente, no integraciones aprobadas o activas. No fabricar endpoints, credenciales ni contratos.</w:t>
            </w:r>
          </w:p>
        </w:tc>
      </w:tr>
      <w:tr>
        <w:trPr>
          <w:cantSplit/>
        </w:trPr>
        <w:tc>
          <w:tcPr>
            <w:tcW w:type="dxa" w:w="2880"/>
            <w:vAlign w:val="center"/>
            <w:shd w:fill="FFFFFF"/>
          </w:tcPr>
          <w:p>
            <w:pPr>
              <w:pStyle w:val="TableBody"/>
            </w:pPr>
            <w:r>
              <w:rPr>
                <w:sz w:val="18"/>
              </w:rPr>
              <w:t>Se mencionaron Sedan, SUV y Sprinter como posibilidades comerciales.</w:t>
            </w:r>
          </w:p>
        </w:tc>
        <w:tc>
          <w:tcPr>
            <w:tcW w:type="dxa" w:w="7229"/>
            <w:vAlign w:val="center"/>
            <w:shd w:fill="FFFFFF"/>
          </w:tcPr>
          <w:p>
            <w:pPr>
              <w:pStyle w:val="TableBody"/>
            </w:pPr>
            <w:r>
              <w:rPr>
                <w:sz w:val="18"/>
              </w:rPr>
              <w:t>No renombrar o borrar códigos de catálogo existentes. Las clases reales y capacidades para publicación siguen pendientes de validación.</w:t>
            </w:r>
          </w:p>
        </w:tc>
      </w:tr>
    </w:tbl>
    <w:p>
      <w:pPr>
        <w:spacing w:after="40"/>
      </w:pPr>
    </w:p>
    <w:p>
      <w:r>
        <w:t>Los mensajes “Certainty from reservation to arrival.” y “Elevating every journey.” se conservan como referencias de marca. El primero aparece como titular en la revisión posterior. Eso permite usarlo en desarrollo, pero no convierte todos los textos auxiliares de aquella revisión en copy comercial definitivo. [D01 §07; D02 parte I §05 y parte III §05.1]</w:t>
      </w:r>
    </w:p>
    <w:p>
      <w:pPr>
        <w:pStyle w:val="Heading1"/>
      </w:pPr>
      <w:r>
        <w:t>03. Punto de partida y alcance de la comprobación remota</w:t>
      </w:r>
    </w:p>
    <w:p>
      <w:r>
        <w:t xml:space="preserve">Al preparar este guion se volvió a leer la colección de ramas de GitHub. Se observaron únicamente </w:t>
      </w:r>
      <w:r>
        <w:rPr>
          <w:rFonts w:ascii="Liberation Mono" w:hAnsi="Liberation Mono"/>
          <w:color w:val="001030"/>
          <w:sz w:val="18"/>
        </w:rPr>
        <w:t>main</w:t>
      </w:r>
      <w:r>
        <w:t xml:space="preserve"> y </w:t>
      </w:r>
      <w:r>
        <w:rPr>
          <w:rFonts w:ascii="Liberation Mono" w:hAnsi="Liberation Mono"/>
          <w:color w:val="001030"/>
          <w:sz w:val="18"/>
        </w:rPr>
        <w:t>migration/react-node-mysql</w:t>
      </w:r>
      <w:r>
        <w:t>, con los mismos identificadores del corte anterior:</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Referencia</w:t>
            </w:r>
          </w:p>
        </w:tc>
        <w:tc>
          <w:tcPr>
            <w:tcW w:type="dxa" w:w="7229"/>
            <w:vAlign w:val="center"/>
            <w:shd w:fill="001030"/>
          </w:tcPr>
          <w:p>
            <w:pPr>
              <w:pStyle w:val="TableBody"/>
            </w:pPr>
            <w:r>
              <w:rPr>
                <w:b/>
                <w:color w:val="FFFFFF"/>
                <w:sz w:val="18"/>
              </w:rPr>
              <w:t>Commit observado</w:t>
            </w:r>
          </w:p>
        </w:tc>
      </w:tr>
      <w:tr>
        <w:trPr>
          <w:cantSplit/>
        </w:trPr>
        <w:tc>
          <w:tcPr>
            <w:tcW w:type="dxa" w:w="2880"/>
            <w:vAlign w:val="center"/>
            <w:shd w:fill="F7F9FD"/>
          </w:tcPr>
          <w:p>
            <w:pPr>
              <w:pStyle w:val="TableBody"/>
            </w:pPr>
            <w:r>
              <w:rPr>
                <w:sz w:val="18"/>
              </w:rPr>
              <w:t xml:space="preserve">Base de producto </w:t>
            </w:r>
            <w:r>
              <w:rPr>
                <w:rFonts w:ascii="Liberation Mono" w:hAnsi="Liberation Mono"/>
                <w:color w:val="001030"/>
                <w:sz w:val="18"/>
              </w:rPr>
              <w:t>migration/react-node-mysql</w:t>
            </w:r>
          </w:p>
        </w:tc>
        <w:tc>
          <w:tcPr>
            <w:tcW w:type="dxa" w:w="7229"/>
            <w:vAlign w:val="center"/>
            <w:shd w:fill="F7F9FD"/>
          </w:tcPr>
          <w:p>
            <w:pPr>
              <w:pStyle w:val="TableBody"/>
            </w:pPr>
            <w:r>
              <w:rPr>
                <w:rFonts w:ascii="Liberation Mono" w:hAnsi="Liberation Mono"/>
                <w:color w:val="001030"/>
                <w:sz w:val="18"/>
              </w:rPr>
              <w:t>f4f8b48d54972b26bbb4861c5e31e1ce2afbda9f</w:t>
            </w:r>
          </w:p>
        </w:tc>
      </w:tr>
      <w:tr>
        <w:trPr>
          <w:cantSplit/>
        </w:trPr>
        <w:tc>
          <w:tcPr>
            <w:tcW w:type="dxa" w:w="2880"/>
            <w:vAlign w:val="center"/>
            <w:shd w:fill="FFFFFF"/>
          </w:tcPr>
          <w:p>
            <w:pPr>
              <w:pStyle w:val="TableBody"/>
            </w:pPr>
            <w:r>
              <w:rPr>
                <w:rFonts w:ascii="Liberation Mono" w:hAnsi="Liberation Mono"/>
                <w:color w:val="001030"/>
                <w:sz w:val="18"/>
              </w:rPr>
              <w:t>main</w:t>
            </w:r>
          </w:p>
        </w:tc>
        <w:tc>
          <w:tcPr>
            <w:tcW w:type="dxa" w:w="7229"/>
            <w:vAlign w:val="center"/>
            <w:shd w:fill="FFFFFF"/>
          </w:tcPr>
          <w:p>
            <w:pPr>
              <w:pStyle w:val="TableBody"/>
            </w:pPr>
            <w:r>
              <w:rPr>
                <w:rFonts w:ascii="Liberation Mono" w:hAnsi="Liberation Mono"/>
                <w:color w:val="001030"/>
                <w:sz w:val="18"/>
              </w:rPr>
              <w:t>443e245205bac2b65ad9301826b9f78ec472ba88</w:t>
            </w:r>
          </w:p>
        </w:tc>
      </w:tr>
    </w:tbl>
    <w:p>
      <w:pPr>
        <w:spacing w:after="40"/>
      </w:pPr>
    </w:p>
    <w:p>
      <w:r>
        <w:t>Esto es una comprobación remota de referencias, no una inspección de la PC de Isaac ni de cambios locales sin publicar. No se creó una rama ni se escribió código remoto para preparar este documento. Los rechazos 403 de sesiones anteriores son antecedentes; tú debes comprobar tus capacidades reales sin prometer permisos que no tienes. [R01, colección de ramas consultada el 5 de octubre de 2026]</w:t>
      </w:r>
    </w:p>
    <w:p>
      <w:pPr>
        <w:pStyle w:val="Heading2"/>
      </w:pPr>
      <w:r>
        <w:t>03.1 Inspección inicial obligatoria y acotada</w:t>
      </w:r>
    </w:p>
    <w:p>
      <w:r>
        <w:t xml:space="preserve">Identifica raíz Git, rama, HEAD, estado de archivos rastreados/no rastreados, remotos, worktrees, instrucciones locales y versiones de herramientas. Revisa </w:t>
      </w:r>
      <w:r>
        <w:rPr>
          <w:rFonts w:ascii="Liberation Mono" w:hAnsi="Liberation Mono"/>
          <w:color w:val="001030"/>
          <w:sz w:val="18"/>
        </w:rPr>
        <w:t>AGENTS.md</w:t>
      </w:r>
      <w:r>
        <w:t xml:space="preserve"> y las instrucciones más cercanas a los directorios afectados; no las reemplaces con este archivo completo. Oculta credenciales si una URL remota las contiene.</w:t>
      </w:r>
    </w:p>
    <w:p>
      <w:pPr>
        <w:pStyle w:val="CodeBlock"/>
        <w:keepNext/>
        <w:shd w:fill="F7F9FD"/>
      </w:pPr>
      <w:r>
        <w:t>git rev-parse --show-toplevel</w:t>
      </w:r>
    </w:p>
    <w:p>
      <w:pPr>
        <w:pStyle w:val="CodeBlock"/>
        <w:keepNext/>
        <w:shd w:fill="F7F9FD"/>
      </w:pPr>
      <w:r>
        <w:t>git status --short</w:t>
      </w:r>
    </w:p>
    <w:p>
      <w:pPr>
        <w:pStyle w:val="CodeBlock"/>
        <w:keepNext/>
        <w:shd w:fill="F7F9FD"/>
      </w:pPr>
      <w:r>
        <w:t>git branch --show-current</w:t>
      </w:r>
    </w:p>
    <w:p>
      <w:pPr>
        <w:pStyle w:val="CodeBlock"/>
        <w:keepNext/>
        <w:shd w:fill="F7F9FD"/>
      </w:pPr>
      <w:r>
        <w:t>git rev-parse HEAD</w:t>
      </w:r>
    </w:p>
    <w:p>
      <w:pPr>
        <w:pStyle w:val="CodeBlock"/>
        <w:keepNext/>
        <w:shd w:fill="F7F9FD"/>
      </w:pPr>
      <w:r>
        <w:t>git worktree list</w:t>
      </w:r>
    </w:p>
    <w:p>
      <w:pPr>
        <w:pStyle w:val="CodeBlock"/>
        <w:keepNext/>
        <w:shd w:fill="F7F9FD"/>
      </w:pPr>
      <w:r>
        <w:t>git branch --all</w:t>
      </w:r>
    </w:p>
    <w:p>
      <w:pPr>
        <w:pStyle w:val="CodeBlock"/>
        <w:keepNext/>
        <w:shd w:fill="F7F9FD"/>
      </w:pPr>
      <w:r>
        <w:t>node --version</w:t>
      </w:r>
    </w:p>
    <w:p>
      <w:pPr>
        <w:pStyle w:val="CodeBlock"/>
        <w:keepNext w:val="0"/>
        <w:shd w:fill="F7F9FD"/>
      </w:pPr>
      <w:r>
        <w:t>pnpm --version</w:t>
      </w:r>
    </w:p>
    <w:p>
      <w:pPr>
        <w:spacing w:after="20"/>
      </w:pPr>
    </w:p>
    <w:p>
      <w:r>
        <w:t xml:space="preserve">Lee </w:t>
      </w:r>
      <w:r>
        <w:rPr>
          <w:rFonts w:ascii="Liberation Mono" w:hAnsi="Liberation Mono"/>
          <w:color w:val="001030"/>
          <w:sz w:val="18"/>
        </w:rPr>
        <w:t>package.json</w:t>
      </w:r>
      <w:r>
        <w:t xml:space="preserve">, </w:t>
      </w:r>
      <w:r>
        <w:rPr>
          <w:rFonts w:ascii="Liberation Mono" w:hAnsi="Liberation Mono"/>
          <w:color w:val="001030"/>
          <w:sz w:val="18"/>
        </w:rPr>
        <w:t>pnpm-workspace.yaml</w:t>
      </w:r>
      <w:r>
        <w:t xml:space="preserve">, </w:t>
      </w:r>
      <w:r>
        <w:rPr>
          <w:rFonts w:ascii="Liberation Mono" w:hAnsi="Liberation Mono"/>
          <w:color w:val="001030"/>
          <w:sz w:val="18"/>
        </w:rPr>
        <w:t>.npmrc</w:t>
      </w:r>
      <w:r>
        <w:t xml:space="preserve">, </w:t>
      </w:r>
      <w:r>
        <w:rPr>
          <w:rFonts w:ascii="Liberation Mono" w:hAnsi="Liberation Mono"/>
          <w:color w:val="001030"/>
          <w:sz w:val="18"/>
        </w:rPr>
        <w:t>pnpm-lock.yaml</w:t>
      </w:r>
      <w:r>
        <w:t xml:space="preserve">, manifiestos de web/API/shared/database, README, arquitectura, diseño, decisiones, scripts de ejecución, configuración de Vite/Vinext y workflow CI. No imprimas el contenido de </w:t>
      </w:r>
      <w:r>
        <w:rPr>
          <w:rFonts w:ascii="Liberation Mono" w:hAnsi="Liberation Mono"/>
          <w:color w:val="001030"/>
          <w:sz w:val="18"/>
        </w:rPr>
        <w:t>.env</w:t>
      </w:r>
      <w:r>
        <w:t xml:space="preserve"> ni de secretos. Identifica nombres de variables y comprueba destinos de prueba sin exponer contraseñas.</w:t>
      </w:r>
    </w:p>
    <w:p>
      <w:r>
        <w:t xml:space="preserve">Si el entorno lo permite, actualiza referencias con </w:t>
      </w:r>
      <w:r>
        <w:rPr>
          <w:rFonts w:ascii="Liberation Mono" w:hAnsi="Liberation Mono"/>
          <w:color w:val="001030"/>
          <w:sz w:val="18"/>
        </w:rPr>
        <w:t>git fetch origin</w:t>
      </w:r>
      <w:r>
        <w:t xml:space="preserve">. Compara la base auditada con el HEAD de producto actual y con las modificaciones locales. Si ya existen cambios de ASCENTA, no retrocedas a </w:t>
      </w:r>
      <w:r>
        <w:rPr>
          <w:rFonts w:ascii="Liberation Mono" w:hAnsi="Liberation Mono"/>
          <w:color w:val="001030"/>
          <w:sz w:val="18"/>
        </w:rPr>
        <w:t>f4f8b48d...</w:t>
      </w:r>
      <w:r>
        <w:t xml:space="preserve"> para repetirlos. Si hay trabajo sin guardar, usa una rama/worktree separado o solicita un checkpoint específico; no hagas stash, reset o limpieza destructiva automáticamente.</w:t>
      </w:r>
    </w:p>
    <w:p>
      <w:r>
        <w:t>Registra un mapa mínimo de rutas y qué función tiene cada botón visible. Ejecuta el arranque y las pruebas disponibles de la base para separar defectos preexistentes de los introducidos. Si no puede arrancar, identifica el error y corrige el bloqueo mínimo compatible antes de hacer un rediseño amplio.</w:t>
      </w:r>
    </w:p>
    <w:p>
      <w:r>
        <w:rPr>
          <w:b/>
        </w:rPr>
        <w:t>Salida de la fase inicial:</w:t>
      </w:r>
      <w:r>
        <w:t xml:space="preserve"> un resumen breve de base, diferencias, conflictos, comandos de ejecución y primer lote. Continúa con los cambios; esta salida no cierra el encargo.</w:t>
      </w:r>
    </w:p>
    <w:p>
      <w:pPr>
        <w:pStyle w:val="Heading2"/>
      </w:pPr>
      <w:r>
        <w:t>03.2 Lo que está realmente documentado del stack</w:t>
      </w:r>
    </w:p>
    <w:p>
      <w:r>
        <w:t xml:space="preserve">La auditoría encontró </w:t>
      </w:r>
      <w:r>
        <w:rPr>
          <w:rFonts w:ascii="Liberation Mono" w:hAnsi="Liberation Mono"/>
          <w:color w:val="001030"/>
          <w:sz w:val="18"/>
        </w:rPr>
        <w:t>apps/web</w:t>
      </w:r>
      <w:r>
        <w:t xml:space="preserve"> con React, rutas estilo Next, Vinext/Vite y Tailwind; </w:t>
      </w:r>
      <w:r>
        <w:rPr>
          <w:rFonts w:ascii="Liberation Mono" w:hAnsi="Liberation Mono"/>
          <w:color w:val="001030"/>
          <w:sz w:val="18"/>
        </w:rPr>
        <w:t>apps/api</w:t>
      </w:r>
      <w:r>
        <w:t xml:space="preserve"> con Express; </w:t>
      </w:r>
      <w:r>
        <w:rPr>
          <w:rFonts w:ascii="Liberation Mono" w:hAnsi="Liberation Mono"/>
          <w:color w:val="001030"/>
          <w:sz w:val="18"/>
        </w:rPr>
        <w:t>packages/shared</w:t>
      </w:r>
      <w:r>
        <w:t xml:space="preserve"> con Zod/tipos; </w:t>
      </w:r>
      <w:r>
        <w:rPr>
          <w:rFonts w:ascii="Liberation Mono" w:hAnsi="Liberation Mono"/>
          <w:color w:val="001030"/>
          <w:sz w:val="18"/>
        </w:rPr>
        <w:t>packages/database</w:t>
      </w:r>
      <w:r>
        <w:t xml:space="preserve"> con Prisma/MySQL. Los manifiestos observados fijaban Node 24, pnpm 11.19.0, React 19, TypeScript 5.9 y Prisma 7. Vinext estaba declarado como </w:t>
      </w:r>
      <w:r>
        <w:rPr>
          <w:rFonts w:ascii="Liberation Mono" w:hAnsi="Liberation Mono"/>
          <w:color w:val="001030"/>
          <w:sz w:val="18"/>
        </w:rPr>
        <w:t>1.0.0-beta.5</w:t>
      </w:r>
      <w:r>
        <w:t>. Son versiones del proyecto, no una recomendación de instalar “lo último”. [D02 parte III §03]</w:t>
      </w:r>
    </w:p>
    <w:p>
      <w:r>
        <w:t xml:space="preserve">Conserva el stack y su lockfile al comenzar. No conviertas </w:t>
      </w:r>
      <w:r>
        <w:rPr>
          <w:rFonts w:ascii="Liberation Mono" w:hAnsi="Liberation Mono"/>
          <w:color w:val="001030"/>
          <w:sz w:val="18"/>
        </w:rPr>
        <w:t>next dev</w:t>
      </w:r>
      <w:r>
        <w:t xml:space="preserve"> en el comando supuesto del proyecto ni elimines automáticamente Cloudflare, los scripts Sites o los rastros de preview sin revisar sus importaciones y función. Si una dependencia no se instala o es incompatible, documenta el error real y la modificación mínima necesaria; no cambies todo el framework para producir una captura.</w:t>
      </w:r>
    </w:p>
    <w:p>
      <w:pPr>
        <w:pStyle w:val="Heading1"/>
      </w:pPr>
      <w:r>
        <w:t>04. Conservar, refactorizar, reemplazar y retirar</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Tratamiento</w:t>
            </w:r>
          </w:p>
        </w:tc>
        <w:tc>
          <w:tcPr>
            <w:tcW w:type="dxa" w:w="7229"/>
            <w:vAlign w:val="center"/>
            <w:shd w:fill="001030"/>
          </w:tcPr>
          <w:p>
            <w:pPr>
              <w:pStyle w:val="TableBody"/>
            </w:pPr>
            <w:r>
              <w:rPr>
                <w:b/>
                <w:color w:val="FFFFFF"/>
                <w:sz w:val="18"/>
              </w:rPr>
              <w:t>Responsabilidades</w:t>
            </w:r>
          </w:p>
        </w:tc>
      </w:tr>
      <w:tr>
        <w:trPr>
          <w:cantSplit/>
        </w:trPr>
        <w:tc>
          <w:tcPr>
            <w:tcW w:type="dxa" w:w="2880"/>
            <w:vAlign w:val="center"/>
            <w:shd w:fill="F7F9FD"/>
          </w:tcPr>
          <w:p>
            <w:pPr>
              <w:pStyle w:val="TableBody"/>
            </w:pPr>
            <w:r>
              <w:rPr>
                <w:sz w:val="18"/>
              </w:rPr>
              <w:t>Conservar y probar</w:t>
            </w:r>
          </w:p>
        </w:tc>
        <w:tc>
          <w:tcPr>
            <w:tcW w:type="dxa" w:w="7229"/>
            <w:vAlign w:val="center"/>
            <w:shd w:fill="F7F9FD"/>
          </w:tcPr>
          <w:p>
            <w:pPr>
              <w:pStyle w:val="TableBody"/>
            </w:pPr>
            <w:r>
              <w:rPr>
                <w:sz w:val="18"/>
              </w:rPr>
              <w:t>Separación web/API/datos; contratos compartidos; repositorios de persistencia; base de sesiones, CSRF, revocación e idempotencia; migraciones anteriores; infraestructura útil de pruebas; historial Git.</w:t>
            </w:r>
          </w:p>
        </w:tc>
      </w:tr>
      <w:tr>
        <w:trPr>
          <w:cantSplit/>
        </w:trPr>
        <w:tc>
          <w:tcPr>
            <w:tcW w:type="dxa" w:w="2880"/>
            <w:vAlign w:val="center"/>
            <w:shd w:fill="FFFFFF"/>
          </w:tcPr>
          <w:p>
            <w:pPr>
              <w:pStyle w:val="TableBody"/>
            </w:pPr>
            <w:r>
              <w:rPr>
                <w:sz w:val="18"/>
              </w:rPr>
              <w:t>Reutilizar con revisión</w:t>
            </w:r>
          </w:p>
        </w:tc>
        <w:tc>
          <w:tcPr>
            <w:tcW w:type="dxa" w:w="7229"/>
            <w:vAlign w:val="center"/>
            <w:shd w:fill="FFFFFF"/>
          </w:tcPr>
          <w:p>
            <w:pPr>
              <w:pStyle w:val="TableBody"/>
            </w:pPr>
            <w:r>
              <w:rPr>
                <w:rFonts w:ascii="Liberation Mono" w:hAnsi="Liberation Mono"/>
                <w:color w:val="001030"/>
                <w:sz w:val="18"/>
              </w:rPr>
              <w:t>Reveal</w:t>
            </w:r>
            <w:r>
              <w:rPr>
                <w:sz w:val="18"/>
              </w:rPr>
              <w:t xml:space="preserve">, </w:t>
            </w:r>
            <w:r>
              <w:rPr>
                <w:rFonts w:ascii="Liberation Mono" w:hAnsi="Liberation Mono"/>
                <w:color w:val="001030"/>
                <w:sz w:val="18"/>
              </w:rPr>
              <w:t>HomeScrollMotion</w:t>
            </w:r>
            <w:r>
              <w:rPr>
                <w:sz w:val="18"/>
              </w:rPr>
              <w:t xml:space="preserve">, </w:t>
            </w:r>
            <w:r>
              <w:rPr>
                <w:rFonts w:ascii="Liberation Mono" w:hAnsi="Liberation Mono"/>
                <w:color w:val="001030"/>
                <w:sz w:val="18"/>
              </w:rPr>
              <w:t>PageTransition</w:t>
            </w:r>
            <w:r>
              <w:rPr>
                <w:sz w:val="18"/>
              </w:rPr>
              <w:t>, Embla, mecanismos de Journey Flow, componentes de layout, header/footer y armazón de portales. Conservar responsabilidad útil, no congelar sus defectos.</w:t>
            </w:r>
          </w:p>
        </w:tc>
      </w:tr>
      <w:tr>
        <w:trPr>
          <w:cantSplit/>
        </w:trPr>
        <w:tc>
          <w:tcPr>
            <w:tcW w:type="dxa" w:w="2880"/>
            <w:vAlign w:val="center"/>
            <w:shd w:fill="F7F9FD"/>
          </w:tcPr>
          <w:p>
            <w:pPr>
              <w:pStyle w:val="TableBody"/>
            </w:pPr>
            <w:r>
              <w:rPr>
                <w:sz w:val="18"/>
              </w:rPr>
              <w:t>Refactorizar</w:t>
            </w:r>
          </w:p>
        </w:tc>
        <w:tc>
          <w:tcPr>
            <w:tcW w:type="dxa" w:w="7229"/>
            <w:vAlign w:val="center"/>
            <w:shd w:fill="F7F9FD"/>
          </w:tcPr>
          <w:p>
            <w:pPr>
              <w:pStyle w:val="TableBody"/>
            </w:pPr>
            <w:r>
              <w:rPr>
                <w:sz w:val="18"/>
              </w:rPr>
              <w:t>Formulario inicial, wizard, continuidad del borrador, sesión y retorno; navegación comercial/privada; catálogo duplicado; roles por organización; estados y datos del portal.</w:t>
            </w:r>
          </w:p>
        </w:tc>
      </w:tr>
      <w:tr>
        <w:trPr>
          <w:cantSplit/>
        </w:trPr>
        <w:tc>
          <w:tcPr>
            <w:tcW w:type="dxa" w:w="2880"/>
            <w:vAlign w:val="center"/>
            <w:shd w:fill="FFFFFF"/>
          </w:tcPr>
          <w:p>
            <w:pPr>
              <w:pStyle w:val="TableBody"/>
            </w:pPr>
            <w:r>
              <w:rPr>
                <w:sz w:val="18"/>
              </w:rPr>
              <w:t>Reemplazar en la experiencia activa</w:t>
            </w:r>
          </w:p>
        </w:tc>
        <w:tc>
          <w:tcPr>
            <w:tcW w:type="dxa" w:w="7229"/>
            <w:vAlign w:val="center"/>
            <w:shd w:fill="FFFFFF"/>
          </w:tcPr>
          <w:p>
            <w:pPr>
              <w:pStyle w:val="TableBody"/>
            </w:pPr>
            <w:r>
              <w:rPr>
                <w:sz w:val="18"/>
              </w:rPr>
              <w:t>Logo y favicon genéricos, paleta provisional, hero saturado, métricas ficticias, contenidos “prototype” como propuesta comercial y controles aparentemente operativos sin acción.</w:t>
            </w:r>
          </w:p>
        </w:tc>
      </w:tr>
      <w:tr>
        <w:trPr>
          <w:cantSplit/>
        </w:trPr>
        <w:tc>
          <w:tcPr>
            <w:tcW w:type="dxa" w:w="2880"/>
            <w:vAlign w:val="center"/>
            <w:shd w:fill="F7F9FD"/>
          </w:tcPr>
          <w:p>
            <w:pPr>
              <w:pStyle w:val="TableBody"/>
            </w:pPr>
            <w:r>
              <w:rPr>
                <w:sz w:val="18"/>
              </w:rPr>
              <w:t>Retirar del recorrido real</w:t>
            </w:r>
          </w:p>
        </w:tc>
        <w:tc>
          <w:tcPr>
            <w:tcW w:type="dxa" w:w="7229"/>
            <w:vAlign w:val="center"/>
            <w:shd w:fill="F7F9FD"/>
          </w:tcPr>
          <w:p>
            <w:pPr>
              <w:pStyle w:val="TableBody"/>
            </w:pPr>
            <w:r>
              <w:rPr>
                <w:sz w:val="18"/>
              </w:rPr>
              <w:t xml:space="preserve">Credenciales precargadas, enlaces </w:t>
            </w:r>
            <w:r>
              <w:rPr>
                <w:rFonts w:ascii="Liberation Mono" w:hAnsi="Liberation Mono"/>
                <w:color w:val="001030"/>
                <w:sz w:val="18"/>
              </w:rPr>
              <w:t>#</w:t>
            </w:r>
            <w:r>
              <w:rPr>
                <w:sz w:val="18"/>
              </w:rPr>
              <w:t xml:space="preserve"> sin destino, botones sociales no integrados, cifras inventadas, badges de apps inexistentes y promesas no confirmadas.</w:t>
            </w:r>
          </w:p>
        </w:tc>
      </w:tr>
      <w:tr>
        <w:trPr>
          <w:cantSplit/>
        </w:trPr>
        <w:tc>
          <w:tcPr>
            <w:tcW w:type="dxa" w:w="2880"/>
            <w:vAlign w:val="center"/>
            <w:shd w:fill="FFFFFF"/>
          </w:tcPr>
          <w:p>
            <w:pPr>
              <w:pStyle w:val="TableBody"/>
            </w:pPr>
            <w:r>
              <w:rPr>
                <w:sz w:val="18"/>
              </w:rPr>
              <w:t>No borrar por esta razón</w:t>
            </w:r>
          </w:p>
        </w:tc>
        <w:tc>
          <w:tcPr>
            <w:tcW w:type="dxa" w:w="7229"/>
            <w:vAlign w:val="center"/>
            <w:shd w:fill="FFFFFF"/>
          </w:tcPr>
          <w:p>
            <w:pPr>
              <w:pStyle w:val="TableBody"/>
            </w:pPr>
            <w:r>
              <w:rPr>
                <w:sz w:val="18"/>
              </w:rPr>
              <w:t>Datos, tablas, fixtures de pruebas, componentes aún importados, migraciones históricas, evidencia anterior o código del usuario. Eliminar un archivo requiere comprobar dependencias y documentar el motivo.</w:t>
            </w:r>
          </w:p>
        </w:tc>
      </w:tr>
    </w:tbl>
    <w:p>
      <w:pPr>
        <w:spacing w:after="40"/>
      </w:pPr>
    </w:p>
    <w:p>
      <w:r>
        <w:t>La meta no es conservar el mismo número de archivos ni demostrar una cantidad de cambios. La adaptación anterior mencionó 74 archivos; ese número es un inventario histórico, no un objetivo de productividad ni una autorización para sobrescribir esos 74 paths. [D02 parte I §06; C04]</w:t>
      </w:r>
    </w:p>
    <w:p>
      <w:pPr>
        <w:pStyle w:val="Heading1"/>
      </w:pPr>
      <w:r>
        <w:t>05. Cómo usar las imágenes y el Site de referencia</w:t>
      </w:r>
    </w:p>
    <w:p>
      <w:pPr>
        <w:pStyle w:val="Heading2"/>
      </w:pPr>
      <w:r>
        <w:t>05.1 Lectura visual obligatoria</w:t>
      </w:r>
    </w:p>
    <w:p>
      <w:r>
        <w:t>Abre las imágenes antes de programar los componentes correspondientes. Consulta el Site local para estados y navegación, y extrae CSS/componentes como ayuda cuando aporte precisión. Las capturas describen una apariencia, no autenticación, accesibilidad, licencia de foto ni comportamiento de servidor.</w:t>
      </w:r>
    </w:p>
    <w:p>
      <w:pPr>
        <w:keepNext/>
        <w:spacing w:before="100" w:after="60"/>
        <w:jc w:val="center"/>
      </w:pPr>
      <w:r>
        <w:drawing>
          <wp:inline xmlns:a="http://schemas.openxmlformats.org/drawingml/2006/main" xmlns:pic="http://schemas.openxmlformats.org/drawingml/2006/picture">
            <wp:extent cx="3566160" cy="3566160"/>
            <wp:docPr id="2" name="Picture 2" descr="V01. Logo original de ASCENTA. Mantener geometría, espaciado y descriptor." title="Ascenta-Logo.png"/>
            <wp:cNvGraphicFramePr>
              <a:graphicFrameLocks noChangeAspect="1"/>
            </wp:cNvGraphicFramePr>
            <a:graphic>
              <a:graphicData uri="http://schemas.openxmlformats.org/drawingml/2006/picture">
                <pic:pic>
                  <pic:nvPicPr>
                    <pic:cNvPr id="0" name="Ascenta-Logo.png"/>
                    <pic:cNvPicPr/>
                  </pic:nvPicPr>
                  <pic:blipFill>
                    <a:blip r:embed="rId13"/>
                    <a:stretch>
                      <a:fillRect/>
                    </a:stretch>
                  </pic:blipFill>
                  <pic:spPr>
                    <a:xfrm>
                      <a:off x="0" y="0"/>
                      <a:ext cx="3566160" cy="3566160"/>
                    </a:xfrm>
                    <a:prstGeom prst="rect"/>
                  </pic:spPr>
                </pic:pic>
              </a:graphicData>
            </a:graphic>
          </wp:inline>
        </w:drawing>
      </w:r>
    </w:p>
    <w:p>
      <w:pPr>
        <w:pStyle w:val="Caption"/>
        <w:keepLines/>
      </w:pPr>
      <w:r>
        <w:t>V01. Logo original de ASCENTA. Mantener geometría, espaciado y descriptor.</w:t>
      </w:r>
    </w:p>
    <w:p>
      <w:r>
        <w:rPr>
          <w:b/>
        </w:rPr>
        <w:t>V01 — Qué preservar:</w:t>
      </w:r>
      <w:r>
        <w:t xml:space="preserve"> A angular marino; diagonal izquierda segmentada; cinta frontal azul; arco claro posterior; pliegue inferior derecho; cortes particulares en ambas A del nombre; relación del descriptor. El fondo claro forma parte del raster. Fuente: D01 §03–04 y §09.</w:t>
      </w:r>
    </w:p>
    <w:p>
      <w:pPr>
        <w:keepNext/>
        <w:spacing w:before="100" w:after="60"/>
        <w:jc w:val="center"/>
      </w:pPr>
      <w:r>
        <w:drawing>
          <wp:inline xmlns:a="http://schemas.openxmlformats.org/drawingml/2006/main" xmlns:pic="http://schemas.openxmlformats.org/drawingml/2006/picture">
            <wp:extent cx="6419088" cy="2375815"/>
            <wp:docPr id="3" name="Picture 3" descr="V02. Referencia panorámica original. Atmósfera, mensajes y profundidad." title="Ascenta.Background.png"/>
            <wp:cNvGraphicFramePr>
              <a:graphicFrameLocks noChangeAspect="1"/>
            </wp:cNvGraphicFramePr>
            <a:graphic>
              <a:graphicData uri="http://schemas.openxmlformats.org/drawingml/2006/picture">
                <pic:pic>
                  <pic:nvPicPr>
                    <pic:cNvPr id="0" name="Ascenta.Background.png"/>
                    <pic:cNvPicPr/>
                  </pic:nvPicPr>
                  <pic:blipFill>
                    <a:blip r:embed="rId12"/>
                    <a:stretch>
                      <a:fillRect/>
                    </a:stretch>
                  </pic:blipFill>
                  <pic:spPr>
                    <a:xfrm>
                      <a:off x="0" y="0"/>
                      <a:ext cx="6419088" cy="2375815"/>
                    </a:xfrm>
                    <a:prstGeom prst="rect"/>
                  </pic:spPr>
                </pic:pic>
              </a:graphicData>
            </a:graphic>
          </wp:inline>
        </w:drawing>
      </w:r>
    </w:p>
    <w:p>
      <w:pPr>
        <w:pStyle w:val="Caption"/>
        <w:keepLines/>
      </w:pPr>
      <w:r>
        <w:t>V02. Referencia panorámica original. Atmósfera, mensajes y profundidad.</w:t>
      </w:r>
    </w:p>
    <w:p>
      <w:r>
        <w:rPr>
          <w:b/>
        </w:rPr>
        <w:t>V02 — Qué traducir:</w:t>
      </w:r>
      <w:r>
        <w:t xml:space="preserve"> amplitud, luz fría, profundidad, marino sobre claro y viaje ejecutivo coordinado. Separar fotografía, logo, texto y controles en la web. La escena no prueba propiedad de vehículo, aviación operada ni acceso aeroportuario. Fuente: D01 §02 y §08.</w:t>
      </w:r>
    </w:p>
    <w:p>
      <w:pPr>
        <w:keepNext/>
        <w:spacing w:before="100" w:after="60"/>
        <w:jc w:val="center"/>
      </w:pPr>
      <w:r>
        <w:drawing>
          <wp:inline xmlns:a="http://schemas.openxmlformats.org/drawingml/2006/main" xmlns:pic="http://schemas.openxmlformats.org/drawingml/2006/picture">
            <wp:extent cx="6419088" cy="3223029"/>
            <wp:docPr id="4" name="Picture 4" descr="V03. Blacklane, referencia 1: fotografía protagonista, cabecera integrada y barra de viaje." title="Blacklane-Referencia-01.png"/>
            <wp:cNvGraphicFramePr>
              <a:graphicFrameLocks noChangeAspect="1"/>
            </wp:cNvGraphicFramePr>
            <a:graphic>
              <a:graphicData uri="http://schemas.openxmlformats.org/drawingml/2006/picture">
                <pic:pic>
                  <pic:nvPicPr>
                    <pic:cNvPr id="0" name="Blacklane-Referencia-01.png"/>
                    <pic:cNvPicPr/>
                  </pic:nvPicPr>
                  <pic:blipFill>
                    <a:blip r:embed="rId14"/>
                    <a:stretch>
                      <a:fillRect/>
                    </a:stretch>
                  </pic:blipFill>
                  <pic:spPr>
                    <a:xfrm>
                      <a:off x="0" y="0"/>
                      <a:ext cx="6419088" cy="3223029"/>
                    </a:xfrm>
                    <a:prstGeom prst="rect"/>
                  </pic:spPr>
                </pic:pic>
              </a:graphicData>
            </a:graphic>
          </wp:inline>
        </w:drawing>
      </w:r>
    </w:p>
    <w:p>
      <w:pPr>
        <w:pStyle w:val="Caption"/>
        <w:keepLines/>
      </w:pPr>
      <w:r>
        <w:t>V03. Blacklane, referencia 1: fotografía protagonista, cabecera integrada y barra de viaje.</w:t>
      </w:r>
    </w:p>
    <w:p>
      <w:r>
        <w:rPr>
          <w:b/>
        </w:rPr>
        <w:t>V03 — Qué estudiar:</w:t>
      </w:r>
      <w:r>
        <w:t xml:space="preserve"> jerarquía de reserva, integración del menú, baja carga de argumentos y balance fotografía/titular/formulario. No copiar palabras, fotos, marca ni políticas. Fuente: D02 página 11, V2.</w:t>
      </w:r>
    </w:p>
    <w:p>
      <w:pPr>
        <w:keepNext/>
        <w:spacing w:before="100" w:after="60"/>
        <w:jc w:val="center"/>
      </w:pPr>
      <w:r>
        <w:drawing>
          <wp:inline xmlns:a="http://schemas.openxmlformats.org/drawingml/2006/main" xmlns:pic="http://schemas.openxmlformats.org/drawingml/2006/picture">
            <wp:extent cx="6419088" cy="3224787"/>
            <wp:docPr id="5" name="Picture 5" descr="V04. Blacklane, referencia 2: sección azul, titular editorial y dos fotografías." title="Blacklane-Referencia-02.png"/>
            <wp:cNvGraphicFramePr>
              <a:graphicFrameLocks noChangeAspect="1"/>
            </wp:cNvGraphicFramePr>
            <a:graphic>
              <a:graphicData uri="http://schemas.openxmlformats.org/drawingml/2006/picture">
                <pic:pic>
                  <pic:nvPicPr>
                    <pic:cNvPr id="0" name="Blacklane-Referencia-02.png"/>
                    <pic:cNvPicPr/>
                  </pic:nvPicPr>
                  <pic:blipFill>
                    <a:blip r:embed="rId15"/>
                    <a:stretch>
                      <a:fillRect/>
                    </a:stretch>
                  </pic:blipFill>
                  <pic:spPr>
                    <a:xfrm>
                      <a:off x="0" y="0"/>
                      <a:ext cx="6419088" cy="3224787"/>
                    </a:xfrm>
                    <a:prstGeom prst="rect"/>
                  </pic:spPr>
                </pic:pic>
              </a:graphicData>
            </a:graphic>
          </wp:inline>
        </w:drawing>
      </w:r>
    </w:p>
    <w:p>
      <w:pPr>
        <w:pStyle w:val="Caption"/>
        <w:keepLines/>
      </w:pPr>
      <w:r>
        <w:t>V04. Blacklane, referencia 2: sección azul, titular editorial y dos fotografías.</w:t>
      </w:r>
    </w:p>
    <w:p>
      <w:r>
        <w:rPr>
          <w:b/>
        </w:rPr>
        <w:t>V04 — Qué estudiar:</w:t>
      </w:r>
      <w:r>
        <w:t xml:space="preserve"> cabecera clara, cambio de superficie, statement central y composición lateral. La reversibilidad del título procede del requisito de Isaac; no se midió en esta captura. Fuente: D02 página 12, V3.</w:t>
      </w:r>
    </w:p>
    <w:p>
      <w:pPr>
        <w:keepNext/>
        <w:spacing w:before="100" w:after="60"/>
        <w:jc w:val="center"/>
      </w:pPr>
      <w:r>
        <w:drawing>
          <wp:inline xmlns:a="http://schemas.openxmlformats.org/drawingml/2006/main" xmlns:pic="http://schemas.openxmlformats.org/drawingml/2006/picture">
            <wp:extent cx="6419088" cy="3223029"/>
            <wp:docPr id="6" name="Picture 6" descr="V05. Blacklane, referencia 3: texto y composición de dispositivos." title="Blacklane-Referencia-03.png"/>
            <wp:cNvGraphicFramePr>
              <a:graphicFrameLocks noChangeAspect="1"/>
            </wp:cNvGraphicFramePr>
            <a:graphic>
              <a:graphicData uri="http://schemas.openxmlformats.org/drawingml/2006/picture">
                <pic:pic>
                  <pic:nvPicPr>
                    <pic:cNvPr id="0" name="Blacklane-Referencia-03.png"/>
                    <pic:cNvPicPr/>
                  </pic:nvPicPr>
                  <pic:blipFill>
                    <a:blip r:embed="rId16"/>
                    <a:stretch>
                      <a:fillRect/>
                    </a:stretch>
                  </pic:blipFill>
                  <pic:spPr>
                    <a:xfrm>
                      <a:off x="0" y="0"/>
                      <a:ext cx="6419088" cy="3223029"/>
                    </a:xfrm>
                    <a:prstGeom prst="rect"/>
                  </pic:spPr>
                </pic:pic>
              </a:graphicData>
            </a:graphic>
          </wp:inline>
        </w:drawing>
      </w:r>
    </w:p>
    <w:p>
      <w:pPr>
        <w:pStyle w:val="Caption"/>
        <w:keepLines/>
      </w:pPr>
      <w:r>
        <w:t>V05. Blacklane, referencia 3: texto y composición de dispositivos.</w:t>
      </w:r>
    </w:p>
    <w:p>
      <w:r>
        <w:rPr>
          <w:b/>
        </w:rPr>
        <w:t>V05 — Qué estudiar:</w:t>
      </w:r>
      <w:r>
        <w:t xml:space="preserve"> balance asimétrico y capas para explicar una plataforma real. No confundir esta captura con el par de fotografías anterior. No prometer aplicaciones, mapas, tracking o tiendas móviles que ASCENTA no tenga. Fuente: D02 página 13, V4.</w:t>
      </w:r>
    </w:p>
    <w:p>
      <w:pPr>
        <w:keepNext/>
        <w:spacing w:before="100" w:after="60"/>
        <w:jc w:val="center"/>
      </w:pPr>
      <w:r>
        <w:drawing>
          <wp:inline xmlns:a="http://schemas.openxmlformats.org/drawingml/2006/main" xmlns:pic="http://schemas.openxmlformats.org/drawingml/2006/picture">
            <wp:extent cx="5705856" cy="3566160"/>
            <wp:docPr id="7" name="Picture 7" descr="V06. Site local ASCENTA: objetivo visual de escritorio." title="ASCENTA-Home-Escritorio.png"/>
            <wp:cNvGraphicFramePr>
              <a:graphicFrameLocks noChangeAspect="1"/>
            </wp:cNvGraphicFramePr>
            <a:graphic>
              <a:graphicData uri="http://schemas.openxmlformats.org/drawingml/2006/picture">
                <pic:pic>
                  <pic:nvPicPr>
                    <pic:cNvPr id="0" name="ASCENTA-Home-Escritorio.png"/>
                    <pic:cNvPicPr/>
                  </pic:nvPicPr>
                  <pic:blipFill>
                    <a:blip r:embed="rId17"/>
                    <a:stretch>
                      <a:fillRect/>
                    </a:stretch>
                  </pic:blipFill>
                  <pic:spPr>
                    <a:xfrm>
                      <a:off x="0" y="0"/>
                      <a:ext cx="5705856" cy="3566160"/>
                    </a:xfrm>
                    <a:prstGeom prst="rect"/>
                  </pic:spPr>
                </pic:pic>
              </a:graphicData>
            </a:graphic>
          </wp:inline>
        </w:drawing>
      </w:r>
    </w:p>
    <w:p>
      <w:pPr>
        <w:pStyle w:val="Caption"/>
        <w:keepLines/>
      </w:pPr>
      <w:r>
        <w:t>V06. Site local ASCENTA: objetivo visual de escritorio.</w:t>
      </w:r>
    </w:p>
    <w:p>
      <w:r>
        <w:rPr>
          <w:b/>
        </w:rPr>
        <w:t>V06 — Qué adaptar:</w:t>
      </w:r>
      <w:r>
        <w:t xml:space="preserve"> titular central, fotografía tratada en marino, barra de viaje, selector de modalidad, CTA azul y navegación integrada. El recuadro claro del wordmark es una solución raster de revisión, no una variante vectorial aprobada. El aviso de Site local no va a producción.</w:t>
      </w:r>
    </w:p>
    <w:p>
      <w:pPr>
        <w:keepNext/>
        <w:spacing w:before="100" w:after="60"/>
        <w:jc w:val="center"/>
      </w:pPr>
      <w:r>
        <w:drawing>
          <wp:inline xmlns:a="http://schemas.openxmlformats.org/drawingml/2006/main" xmlns:pic="http://schemas.openxmlformats.org/drawingml/2006/picture">
            <wp:extent cx="1922515" cy="4160520"/>
            <wp:docPr id="8" name="Picture 8" descr="V07. Site local ASCENTA: objetivo visual móvil." title="ASCENTA-Home-Movil.png"/>
            <wp:cNvGraphicFramePr>
              <a:graphicFrameLocks noChangeAspect="1"/>
            </wp:cNvGraphicFramePr>
            <a:graphic>
              <a:graphicData uri="http://schemas.openxmlformats.org/drawingml/2006/picture">
                <pic:pic>
                  <pic:nvPicPr>
                    <pic:cNvPr id="0" name="ASCENTA-Home-Movil.png"/>
                    <pic:cNvPicPr/>
                  </pic:nvPicPr>
                  <pic:blipFill>
                    <a:blip r:embed="rId18"/>
                    <a:stretch>
                      <a:fillRect/>
                    </a:stretch>
                  </pic:blipFill>
                  <pic:spPr>
                    <a:xfrm>
                      <a:off x="0" y="0"/>
                      <a:ext cx="1922515" cy="4160520"/>
                    </a:xfrm>
                    <a:prstGeom prst="rect"/>
                  </pic:spPr>
                </pic:pic>
              </a:graphicData>
            </a:graphic>
          </wp:inline>
        </w:drawing>
      </w:r>
    </w:p>
    <w:p>
      <w:pPr>
        <w:pStyle w:val="Caption"/>
        <w:keepLines/>
      </w:pPr>
      <w:r>
        <w:t>V07. Site local ASCENTA: objetivo visual móvil.</w:t>
      </w:r>
    </w:p>
    <w:p>
      <w:r>
        <w:rPr>
          <w:b/>
        </w:rPr>
        <w:t>V07 — Qué adaptar:</w:t>
      </w:r>
      <w:r>
        <w:t xml:space="preserve"> título reorganizado, menú compacto, modo de viaje sobre tarjeta vertical y botón ancho. Mejorar cualquier texto demasiado pequeño o aviso superpuesto que dificulte leer; fidelidad visual no exige reproducir un defecto de legibilidad. La cabecera no puede depender de comprimir el logo.</w:t>
      </w:r>
    </w:p>
    <w:p>
      <w:pPr>
        <w:pStyle w:val="Heading2"/>
      </w:pPr>
      <w:r>
        <w:t>05.2 Referencias de pantallas adicionales</w:t>
      </w:r>
    </w:p>
    <w:p>
      <w:r>
        <w:t xml:space="preserve">Usa </w:t>
      </w:r>
      <w:r>
        <w:rPr>
          <w:rFonts w:ascii="Liberation Mono" w:hAnsi="Liberation Mono"/>
          <w:color w:val="001030"/>
          <w:sz w:val="18"/>
        </w:rPr>
        <w:t>ASCENTA-Home-Completa.png</w:t>
      </w:r>
      <w:r>
        <w:t xml:space="preserve"> y </w:t>
      </w:r>
      <w:r>
        <w:rPr>
          <w:rFonts w:ascii="Liberation Mono" w:hAnsi="Liberation Mono"/>
          <w:color w:val="001030"/>
          <w:sz w:val="18"/>
        </w:rPr>
        <w:t>ASCENTA-Home-Movil-Completa.png</w:t>
      </w:r>
      <w:r>
        <w:t xml:space="preserve"> para el ritmo de secciones. Usa </w:t>
      </w:r>
      <w:r>
        <w:rPr>
          <w:rFonts w:ascii="Liberation Mono" w:hAnsi="Liberation Mono"/>
          <w:color w:val="001030"/>
          <w:sz w:val="18"/>
        </w:rPr>
        <w:t>ASCENTA-Booking.png</w:t>
      </w:r>
      <w:r>
        <w:t xml:space="preserve">, </w:t>
      </w:r>
      <w:r>
        <w:rPr>
          <w:rFonts w:ascii="Liberation Mono" w:hAnsi="Liberation Mono"/>
          <w:color w:val="001030"/>
          <w:sz w:val="18"/>
        </w:rPr>
        <w:t>ASCENTA-Registro.png</w:t>
      </w:r>
      <w:r>
        <w:t xml:space="preserve">, </w:t>
      </w:r>
      <w:r>
        <w:rPr>
          <w:rFonts w:ascii="Liberation Mono" w:hAnsi="Liberation Mono"/>
          <w:color w:val="001030"/>
          <w:sz w:val="18"/>
        </w:rPr>
        <w:t>ASCENTA-Cuenta.png</w:t>
      </w:r>
      <w:r>
        <w:t xml:space="preserve"> y </w:t>
      </w:r>
      <w:r>
        <w:rPr>
          <w:rFonts w:ascii="Liberation Mono" w:hAnsi="Liberation Mono"/>
          <w:color w:val="001030"/>
          <w:sz w:val="18"/>
        </w:rPr>
        <w:t>ASCENTA-Operaciones.png</w:t>
      </w:r>
      <w:r>
        <w:t xml:space="preserve"> para la organización de sus pantallas. Sus datos son ejemplos históricos de desarrollo: no precargar nombres, viajes, precios ni métricas de esas capturas en el producto.</w:t>
      </w:r>
    </w:p>
    <w:p>
      <w:r>
        <w:t>Las cuatro pantallas anteriores y su implementación candidata son punto de partida, no prueba de que todos los controles funcionen en Vinext. Compara la pantalla nativa que construyas con la referencia correspondiente en el mismo viewport. Explica los cambios deliberados por accesibilidad o coherencia, en vez de rediseñar libremente y llamarlo equivalente.</w:t>
      </w:r>
    </w:p>
    <w:p>
      <w:pPr>
        <w:pStyle w:val="Heading1"/>
      </w:pPr>
      <w:r>
        <w:t>06. Identidad, logo y activos de producción</w:t>
      </w:r>
    </w:p>
    <w:p>
      <w:pPr>
        <w:pStyle w:val="Heading2"/>
      </w:pPr>
      <w:r>
        <w:t>06.1 Componente de marca único</w:t>
      </w:r>
    </w:p>
    <w:p>
      <w:r>
        <w:t xml:space="preserve">Crea o adapta un componente </w:t>
      </w:r>
      <w:r>
        <w:rPr>
          <w:rFonts w:ascii="Liberation Mono" w:hAnsi="Liberation Mono"/>
          <w:color w:val="001030"/>
          <w:sz w:val="18"/>
        </w:rPr>
        <w:t>Brand</w:t>
      </w:r>
      <w:r>
        <w:t xml:space="preserve"> reutilizable en header, footer, login, cuenta y operaciones. Debe utilizar imágenes o vectores oficiales disponibles, no una A de una fuente, una insignia circular, un logo generado nuevo ni texto con espacios para reconstruir ASCENTA.</w:t>
      </w:r>
    </w:p>
    <w:p>
      <w:r>
        <w:t xml:space="preserve">Preserva la estructura apilada del original cuando corresponda. El nombre y el descriptor no deben modificarse por un cambio de breakpoint. Una variante compacta auténtica puede omitir elementos solo si esa variante está aprobada; un recorte técnico del raster se documenta como derivado de revisión, no como un maestro nuevo. No inviertas el PNG con filtros, no hagas todo </w:t>
      </w:r>
      <w:r>
        <w:rPr>
          <w:rFonts w:ascii="Liberation Mono" w:hAnsi="Liberation Mono"/>
          <w:color w:val="001030"/>
          <w:sz w:val="18"/>
        </w:rPr>
        <w:t>currentColor</w:t>
      </w:r>
      <w:r>
        <w:t xml:space="preserve"> y no aplanes degradados.</w:t>
      </w:r>
    </w:p>
    <w:p>
      <w:r>
        <w:t>El original del logo mide 1254 × 1254 px, RGB, sin transparencia; el banner mide 2048 × 758 px, RGBA completamente opaco. Los archivos del kit conservan estos bytes. [D01 §09 y §15]</w:t>
      </w:r>
    </w:p>
    <w:p>
      <w:pPr>
        <w:pStyle w:val="CodeBlock"/>
        <w:keepNext/>
        <w:shd w:fill="F7F9FD"/>
      </w:pPr>
      <w:r>
        <w:t>SHA-256 Ascenta-Logo.png</w:t>
      </w:r>
    </w:p>
    <w:p>
      <w:pPr>
        <w:pStyle w:val="CodeBlock"/>
        <w:keepNext/>
        <w:shd w:fill="F7F9FD"/>
      </w:pPr>
      <w:r>
        <w:t>96a919d1e3f926b71dcc82f04ab0caa0836d38dc3167df906378d89489bc92d4</w:t>
      </w:r>
    </w:p>
    <w:p>
      <w:pPr>
        <w:pStyle w:val="CodeBlock"/>
        <w:keepNext/>
        <w:shd w:fill="F7F9FD"/>
      </w:pPr>
      <w:r>
        <w:t xml:space="preserve"> </w:t>
      </w:r>
    </w:p>
    <w:p>
      <w:pPr>
        <w:pStyle w:val="CodeBlock"/>
        <w:keepNext/>
        <w:shd w:fill="F7F9FD"/>
      </w:pPr>
      <w:r>
        <w:t>SHA-256 Ascenta.Background.png</w:t>
      </w:r>
    </w:p>
    <w:p>
      <w:pPr>
        <w:pStyle w:val="CodeBlock"/>
        <w:keepNext w:val="0"/>
        <w:shd w:fill="F7F9FD"/>
      </w:pPr>
      <w:r>
        <w:t>362de8022b61b41dad5ec805a904f9831642ef0fc391447af4fe317d0a3e316a</w:t>
      </w:r>
    </w:p>
    <w:p>
      <w:pPr>
        <w:spacing w:after="20"/>
      </w:pPr>
    </w:p>
    <w:p>
      <w:r>
        <w:t>No reduzcas todo el lienzo cuadrado para meterlo en un header. D01 midió aproximadamente 32.7% para ancho del símbolo/nombre y 77.7% para descriptor/nombre; son observaciones del raster, no órdenes para redibujarlo. Su descriptor pierde lectura al reducir el bloque. Reserva dimensiones de marca estables y prueba su aspecto real en todos los contextos.</w:t>
      </w:r>
    </w:p>
    <w:p>
      <w:pPr>
        <w:pStyle w:val="Heading2"/>
      </w:pPr>
      <w:r>
        <w:t>06.2 Fondo claro y oscuro</w:t>
      </w:r>
    </w:p>
    <w:p>
      <w:r>
        <w:t>Busca primero una variante oficial apropiada. Si falta una variante clara auténtica, conserva el arte sobre una superficie clara discreta, como en la referencia posterior, y registra el pendiente. No fabriques una versión blanca para cumplir visualmente la idea de header contextual. El resto del menú sí adapta texto/superficie al fondo.</w:t>
      </w:r>
    </w:p>
    <w:p>
      <w:r>
        <w:t>Preparar o localizar vector, variante horizontal, inversa, monocroma y favicon correcto sigue siendo tarea de producción controlada. No se autoriza rediseñar. Sustituye el favicon genérico por un activo fiel disponible para revisión, conservando su procedencia y limitaciones de tamaño. No coloques un PNG dentro de un SVG y lo describas como vector.</w:t>
      </w:r>
    </w:p>
    <w:p>
      <w:pPr>
        <w:pStyle w:val="Heading2"/>
      </w:pPr>
      <w:r>
        <w:t>06.3 Fotografía y archivo de activos</w:t>
      </w:r>
    </w:p>
    <w:p>
      <w:r>
        <w:t xml:space="preserve">Clasifica cada imagen por fuente, función, dimensiones, formato, punto focal, derivación, autorización de publicación y texto alternativo. Conserva originales; optimiza derivados separados. No incluyas screenshots de Blacklane en </w:t>
      </w:r>
      <w:r>
        <w:rPr>
          <w:rFonts w:ascii="Liberation Mono" w:hAnsi="Liberation Mono"/>
          <w:color w:val="001030"/>
          <w:sz w:val="18"/>
        </w:rPr>
        <w:t>public/</w:t>
      </w:r>
      <w:r>
        <w:t>, ni uses una captura completa como imagen del hero. Las imágenes derivadas de la lámina de ASCENTA son referencias de diseño y no acreditan derechos adicionales o flota propia.</w:t>
      </w:r>
    </w:p>
    <w:p>
      <w:r>
        <w:t>La fotografía debe acompañar atención, preparación, llegada, interior, equipaje o coordinación, no solo exhibir lujo. Define encuadres de escritorio y móvil; reserva dimensiones; carga con prioridad únicamente el recurso principal y de forma diferida los secundarios pertinentes. Si falla la imagen, texto y formulario siguen utilizables. No inventes fotografías de servicios realizados ni testimonios.</w:t>
      </w:r>
    </w:p>
    <w:p>
      <w:pPr>
        <w:pStyle w:val="Heading1"/>
      </w:pPr>
      <w:r>
        <w:t>07. Sistema visual, tokens y medidas</w:t>
      </w:r>
    </w:p>
    <w:p>
      <w:pPr>
        <w:pStyle w:val="Heading2"/>
      </w:pPr>
      <w:r>
        <w:t>07.1 Colores de marca y funciones</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016"/>
        <w:gridCol w:w="4104"/>
        <w:gridCol w:w="3989"/>
      </w:tblGrid>
      <w:tr>
        <w:trPr>
          <w:cantSplit/>
          <w:tblHeader/>
        </w:trPr>
        <w:tc>
          <w:tcPr>
            <w:tcW w:type="dxa" w:w="2016"/>
            <w:vAlign w:val="center"/>
            <w:shd w:fill="001030"/>
          </w:tcPr>
          <w:p>
            <w:pPr>
              <w:pStyle w:val="TableBody"/>
            </w:pPr>
            <w:r>
              <w:rPr>
                <w:b/>
                <w:color w:val="FFFFFF"/>
                <w:sz w:val="18"/>
              </w:rPr>
              <w:t>Token conceptual</w:t>
            </w:r>
          </w:p>
        </w:tc>
        <w:tc>
          <w:tcPr>
            <w:tcW w:type="dxa" w:w="4104"/>
            <w:vAlign w:val="center"/>
            <w:shd w:fill="001030"/>
          </w:tcPr>
          <w:p>
            <w:pPr>
              <w:pStyle w:val="TableBody"/>
            </w:pPr>
            <w:r>
              <w:rPr>
                <w:b/>
                <w:color w:val="FFFFFF"/>
                <w:sz w:val="18"/>
              </w:rPr>
              <w:t>Valor</w:t>
            </w:r>
          </w:p>
        </w:tc>
        <w:tc>
          <w:tcPr>
            <w:tcW w:type="dxa" w:w="3989"/>
            <w:vAlign w:val="center"/>
            <w:shd w:fill="001030"/>
          </w:tcPr>
          <w:p>
            <w:pPr>
              <w:pStyle w:val="TableBody"/>
            </w:pPr>
            <w:r>
              <w:rPr>
                <w:b/>
                <w:color w:val="FFFFFF"/>
                <w:sz w:val="18"/>
              </w:rPr>
              <w:t>Regla</w:t>
            </w:r>
          </w:p>
        </w:tc>
      </w:tr>
      <w:tr>
        <w:trPr>
          <w:cantSplit/>
        </w:trPr>
        <w:tc>
          <w:tcPr>
            <w:tcW w:type="dxa" w:w="2016"/>
            <w:vAlign w:val="center"/>
            <w:shd w:fill="F7F9FD"/>
          </w:tcPr>
          <w:p>
            <w:pPr>
              <w:pStyle w:val="TableBody"/>
            </w:pPr>
            <w:r>
              <w:rPr>
                <w:sz w:val="18"/>
              </w:rPr>
              <w:t>Marino de marca</w:t>
            </w:r>
          </w:p>
        </w:tc>
        <w:tc>
          <w:tcPr>
            <w:tcW w:type="dxa" w:w="4104"/>
            <w:vAlign w:val="center"/>
            <w:shd w:fill="F7F9FD"/>
          </w:tcPr>
          <w:p>
            <w:pPr>
              <w:pStyle w:val="TableBody"/>
            </w:pPr>
            <w:r>
              <w:rPr>
                <w:rFonts w:ascii="Liberation Mono" w:hAnsi="Liberation Mono"/>
                <w:color w:val="001030"/>
                <w:sz w:val="18"/>
              </w:rPr>
              <w:t>#001030</w:t>
            </w:r>
          </w:p>
        </w:tc>
        <w:tc>
          <w:tcPr>
            <w:tcW w:type="dxa" w:w="3989"/>
            <w:vAlign w:val="center"/>
            <w:shd w:fill="F7F9FD"/>
          </w:tcPr>
          <w:p>
            <w:pPr>
              <w:pStyle w:val="TableBody"/>
            </w:pPr>
            <w:r>
              <w:rPr>
                <w:sz w:val="18"/>
              </w:rPr>
              <w:t>Estructura, texto principal, superficies oscuras y apoyo de contraste.</w:t>
            </w:r>
          </w:p>
        </w:tc>
      </w:tr>
      <w:tr>
        <w:trPr>
          <w:cantSplit/>
        </w:trPr>
        <w:tc>
          <w:tcPr>
            <w:tcW w:type="dxa" w:w="2016"/>
            <w:vAlign w:val="center"/>
            <w:shd w:fill="FFFFFF"/>
          </w:tcPr>
          <w:p>
            <w:pPr>
              <w:pStyle w:val="TableBody"/>
            </w:pPr>
            <w:r>
              <w:rPr>
                <w:sz w:val="18"/>
              </w:rPr>
              <w:t>Azul de acento</w:t>
            </w:r>
          </w:p>
        </w:tc>
        <w:tc>
          <w:tcPr>
            <w:tcW w:type="dxa" w:w="4104"/>
            <w:vAlign w:val="center"/>
            <w:shd w:fill="FFFFFF"/>
          </w:tcPr>
          <w:p>
            <w:pPr>
              <w:pStyle w:val="TableBody"/>
            </w:pPr>
            <w:r>
              <w:rPr>
                <w:rFonts w:ascii="Liberation Mono" w:hAnsi="Liberation Mono"/>
                <w:color w:val="001030"/>
                <w:sz w:val="18"/>
              </w:rPr>
              <w:t>#3270BF</w:t>
            </w:r>
          </w:p>
        </w:tc>
        <w:tc>
          <w:tcPr>
            <w:tcW w:type="dxa" w:w="3989"/>
            <w:vAlign w:val="center"/>
            <w:shd w:fill="FFFFFF"/>
          </w:tcPr>
          <w:p>
            <w:pPr>
              <w:pStyle w:val="TableBody"/>
            </w:pPr>
            <w:r>
              <w:rPr>
                <w:sz w:val="18"/>
              </w:rPr>
              <w:t>Énfasis, selección, acciones destacadas del diseño posterior y foco según superficie.</w:t>
            </w:r>
          </w:p>
        </w:tc>
      </w:tr>
      <w:tr>
        <w:trPr>
          <w:cantSplit/>
        </w:trPr>
        <w:tc>
          <w:tcPr>
            <w:tcW w:type="dxa" w:w="2016"/>
            <w:vAlign w:val="center"/>
            <w:shd w:fill="F7F9FD"/>
          </w:tcPr>
          <w:p>
            <w:pPr>
              <w:pStyle w:val="TableBody"/>
            </w:pPr>
            <w:r>
              <w:rPr>
                <w:sz w:val="18"/>
              </w:rPr>
              <w:t>Azul claro</w:t>
            </w:r>
          </w:p>
        </w:tc>
        <w:tc>
          <w:tcPr>
            <w:tcW w:type="dxa" w:w="4104"/>
            <w:vAlign w:val="center"/>
            <w:shd w:fill="F7F9FD"/>
          </w:tcPr>
          <w:p>
            <w:pPr>
              <w:pStyle w:val="TableBody"/>
            </w:pPr>
            <w:r>
              <w:rPr>
                <w:rFonts w:ascii="Liberation Mono" w:hAnsi="Liberation Mono"/>
                <w:color w:val="001030"/>
                <w:sz w:val="18"/>
              </w:rPr>
              <w:t>#92BEF2</w:t>
            </w:r>
          </w:p>
        </w:tc>
        <w:tc>
          <w:tcPr>
            <w:tcW w:type="dxa" w:w="3989"/>
            <w:vAlign w:val="center"/>
            <w:shd w:fill="F7F9FD"/>
          </w:tcPr>
          <w:p>
            <w:pPr>
              <w:pStyle w:val="TableBody"/>
            </w:pPr>
            <w:r>
              <w:rPr>
                <w:sz w:val="18"/>
              </w:rPr>
              <w:t>Apoyo visual y superficies, no texto blanco pequeño.</w:t>
            </w:r>
          </w:p>
        </w:tc>
      </w:tr>
      <w:tr>
        <w:trPr>
          <w:cantSplit/>
        </w:trPr>
        <w:tc>
          <w:tcPr>
            <w:tcW w:type="dxa" w:w="2016"/>
            <w:vAlign w:val="center"/>
            <w:shd w:fill="FFFFFF"/>
          </w:tcPr>
          <w:p>
            <w:pPr>
              <w:pStyle w:val="TableBody"/>
            </w:pPr>
            <w:r>
              <w:rPr>
                <w:sz w:val="18"/>
              </w:rPr>
              <w:t>Azul de ambiente</w:t>
            </w:r>
          </w:p>
        </w:tc>
        <w:tc>
          <w:tcPr>
            <w:tcW w:type="dxa" w:w="4104"/>
            <w:vAlign w:val="center"/>
            <w:shd w:fill="FFFFFF"/>
          </w:tcPr>
          <w:p>
            <w:pPr>
              <w:pStyle w:val="TableBody"/>
            </w:pPr>
            <w:r>
              <w:rPr>
                <w:rFonts w:ascii="Liberation Mono" w:hAnsi="Liberation Mono"/>
                <w:color w:val="001030"/>
                <w:sz w:val="18"/>
              </w:rPr>
              <w:t>#C6DEFC</w:t>
            </w:r>
          </w:p>
        </w:tc>
        <w:tc>
          <w:tcPr>
            <w:tcW w:type="dxa" w:w="3989"/>
            <w:vAlign w:val="center"/>
            <w:shd w:fill="FFFFFF"/>
          </w:tcPr>
          <w:p>
            <w:pPr>
              <w:pStyle w:val="TableBody"/>
            </w:pPr>
            <w:r>
              <w:rPr>
                <w:sz w:val="18"/>
              </w:rPr>
              <w:t>Secciones editoriales y atmósfera luminosa.</w:t>
            </w:r>
          </w:p>
        </w:tc>
      </w:tr>
      <w:tr>
        <w:trPr>
          <w:cantSplit/>
        </w:trPr>
        <w:tc>
          <w:tcPr>
            <w:tcW w:type="dxa" w:w="2016"/>
            <w:vAlign w:val="center"/>
            <w:shd w:fill="F7F9FD"/>
          </w:tcPr>
          <w:p>
            <w:pPr>
              <w:pStyle w:val="TableBody"/>
            </w:pPr>
            <w:r>
              <w:rPr>
                <w:sz w:val="18"/>
              </w:rPr>
              <w:t>Blanco funcional</w:t>
            </w:r>
          </w:p>
        </w:tc>
        <w:tc>
          <w:tcPr>
            <w:tcW w:type="dxa" w:w="4104"/>
            <w:vAlign w:val="center"/>
            <w:shd w:fill="F7F9FD"/>
          </w:tcPr>
          <w:p>
            <w:pPr>
              <w:pStyle w:val="TableBody"/>
            </w:pPr>
            <w:r>
              <w:rPr>
                <w:rFonts w:ascii="Liberation Mono" w:hAnsi="Liberation Mono"/>
                <w:color w:val="001030"/>
                <w:sz w:val="18"/>
              </w:rPr>
              <w:t>#FFFFFF</w:t>
            </w:r>
          </w:p>
        </w:tc>
        <w:tc>
          <w:tcPr>
            <w:tcW w:type="dxa" w:w="3989"/>
            <w:vAlign w:val="center"/>
            <w:shd w:fill="F7F9FD"/>
          </w:tcPr>
          <w:p>
            <w:pPr>
              <w:pStyle w:val="TableBody"/>
            </w:pPr>
            <w:r>
              <w:rPr>
                <w:sz w:val="18"/>
              </w:rPr>
              <w:t>Superficie y contraste, sin sustituir la identidad.</w:t>
            </w:r>
          </w:p>
        </w:tc>
      </w:tr>
      <w:tr>
        <w:trPr>
          <w:cantSplit/>
        </w:trPr>
        <w:tc>
          <w:tcPr>
            <w:tcW w:type="dxa" w:w="2016"/>
            <w:vAlign w:val="center"/>
            <w:shd w:fill="FFFFFF"/>
          </w:tcPr>
          <w:p>
            <w:pPr>
              <w:pStyle w:val="TableBody"/>
            </w:pPr>
            <w:r>
              <w:rPr>
                <w:sz w:val="18"/>
              </w:rPr>
              <w:t>Claro frío de apoyo</w:t>
            </w:r>
          </w:p>
        </w:tc>
        <w:tc>
          <w:tcPr>
            <w:tcW w:type="dxa" w:w="4104"/>
            <w:vAlign w:val="center"/>
            <w:shd w:fill="FFFFFF"/>
          </w:tcPr>
          <w:p>
            <w:pPr>
              <w:pStyle w:val="TableBody"/>
            </w:pPr>
            <w:r>
              <w:rPr>
                <w:rFonts w:ascii="Liberation Mono" w:hAnsi="Liberation Mono"/>
                <w:color w:val="001030"/>
                <w:sz w:val="18"/>
              </w:rPr>
              <w:t>#F7F9FD</w:t>
            </w:r>
          </w:p>
        </w:tc>
        <w:tc>
          <w:tcPr>
            <w:tcW w:type="dxa" w:w="3989"/>
            <w:vAlign w:val="center"/>
            <w:shd w:fill="FFFFFF"/>
          </w:tcPr>
          <w:p>
            <w:pPr>
              <w:pStyle w:val="TableBody"/>
            </w:pPr>
            <w:r>
              <w:rPr>
                <w:sz w:val="18"/>
              </w:rPr>
              <w:t>Neutral observado en el PNG; no un quinto color institucional aprobado.</w:t>
            </w:r>
          </w:p>
        </w:tc>
      </w:tr>
    </w:tbl>
    <w:p>
      <w:pPr>
        <w:spacing w:after="40"/>
      </w:pPr>
    </w:p>
    <w:p>
      <w:r>
        <w:t>Crea nombres semánticos para página, tarjetas, texto secundario, bordes, CTA, foco, selección, error, advertencia, éxito y capas. El mismo HEX viejo puede tener funciones diferentes; inventaría literales en CSS, clases, SVG y gráficos antes de sustituirlos. Las páginas de acceso y portales también deben abandonar el champagne, no solo Home. [D01 §05–06; D02 parte III §05.4]</w:t>
      </w:r>
    </w:p>
    <w:p>
      <w:r>
        <w:t xml:space="preserve">Los neutros y estados de </w:t>
      </w:r>
      <w:r>
        <w:rPr>
          <w:rFonts w:ascii="Liberation Mono" w:hAnsi="Liberation Mono"/>
          <w:color w:val="001030"/>
          <w:sz w:val="18"/>
        </w:rPr>
        <w:t>ascenta-referencia.css</w:t>
      </w:r>
      <w:r>
        <w:t xml:space="preserve"> son decisiones técnicas del candidato. Reutilízalos cuando funcionen; no los declares colores oficiales. Recalcula pares reales con opacidades y fotografías. La delicadeza nunca debe depender de bordes tan tenues que un campo desaparezca.</w:t>
      </w:r>
    </w:p>
    <w:p>
      <w:pPr>
        <w:pStyle w:val="Heading2"/>
      </w:pPr>
      <w:r>
        <w:t>07.2 Referencia dimensional, no especificación de marca</w:t>
      </w:r>
    </w:p>
    <w:p>
      <w:r>
        <w:t>Los valores de esta tabla se observaron en el CSS candidato. Sirven para reproducir su jerarquía inicialmente; ajustarlos por lectura y viewport es una decisión técnica que debe registrarse.</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Elemento</w:t>
            </w:r>
          </w:p>
        </w:tc>
        <w:tc>
          <w:tcPr>
            <w:tcW w:type="dxa" w:w="7229"/>
            <w:vAlign w:val="center"/>
            <w:shd w:fill="001030"/>
          </w:tcPr>
          <w:p>
            <w:pPr>
              <w:pStyle w:val="TableBody"/>
            </w:pPr>
            <w:r>
              <w:rPr>
                <w:b/>
                <w:color w:val="FFFFFF"/>
                <w:sz w:val="18"/>
              </w:rPr>
              <w:t>Punto de partida de C03</w:t>
            </w:r>
          </w:p>
        </w:tc>
      </w:tr>
      <w:tr>
        <w:trPr>
          <w:cantSplit/>
        </w:trPr>
        <w:tc>
          <w:tcPr>
            <w:tcW w:type="dxa" w:w="2880"/>
            <w:vAlign w:val="center"/>
            <w:shd w:fill="F7F9FD"/>
          </w:tcPr>
          <w:p>
            <w:pPr>
              <w:pStyle w:val="TableBody"/>
            </w:pPr>
            <w:r>
              <w:rPr>
                <w:sz w:val="18"/>
              </w:rPr>
              <w:t>Contenedor editorial</w:t>
            </w:r>
          </w:p>
        </w:tc>
        <w:tc>
          <w:tcPr>
            <w:tcW w:type="dxa" w:w="7229"/>
            <w:vAlign w:val="center"/>
            <w:shd w:fill="F7F9FD"/>
          </w:tcPr>
          <w:p>
            <w:pPr>
              <w:pStyle w:val="TableBody"/>
            </w:pPr>
            <w:r>
              <w:rPr>
                <w:sz w:val="18"/>
              </w:rPr>
              <w:t>Máximo de 1240 px, con márgenes adaptables.</w:t>
            </w:r>
          </w:p>
        </w:tc>
      </w:tr>
      <w:tr>
        <w:trPr>
          <w:cantSplit/>
        </w:trPr>
        <w:tc>
          <w:tcPr>
            <w:tcW w:type="dxa" w:w="2880"/>
            <w:vAlign w:val="center"/>
            <w:shd w:fill="FFFFFF"/>
          </w:tcPr>
          <w:p>
            <w:pPr>
              <w:pStyle w:val="TableBody"/>
            </w:pPr>
            <w:r>
              <w:rPr>
                <w:sz w:val="18"/>
              </w:rPr>
              <w:t>Contenedor de navegación</w:t>
            </w:r>
          </w:p>
        </w:tc>
        <w:tc>
          <w:tcPr>
            <w:tcW w:type="dxa" w:w="7229"/>
            <w:vAlign w:val="center"/>
            <w:shd w:fill="FFFFFF"/>
          </w:tcPr>
          <w:p>
            <w:pPr>
              <w:pStyle w:val="TableBody"/>
            </w:pPr>
            <w:r>
              <w:rPr>
                <w:sz w:val="18"/>
              </w:rPr>
              <w:t>Máximo de 1450 px en escritorio.</w:t>
            </w:r>
          </w:p>
        </w:tc>
      </w:tr>
      <w:tr>
        <w:trPr>
          <w:cantSplit/>
        </w:trPr>
        <w:tc>
          <w:tcPr>
            <w:tcW w:type="dxa" w:w="2880"/>
            <w:vAlign w:val="center"/>
            <w:shd w:fill="F7F9FD"/>
          </w:tcPr>
          <w:p>
            <w:pPr>
              <w:pStyle w:val="TableBody"/>
            </w:pPr>
            <w:r>
              <w:rPr>
                <w:sz w:val="18"/>
              </w:rPr>
              <w:t>Cabecera</w:t>
            </w:r>
          </w:p>
        </w:tc>
        <w:tc>
          <w:tcPr>
            <w:tcW w:type="dxa" w:w="7229"/>
            <w:vAlign w:val="center"/>
            <w:shd w:fill="F7F9FD"/>
          </w:tcPr>
          <w:p>
            <w:pPr>
              <w:pStyle w:val="TableBody"/>
            </w:pPr>
            <w:r>
              <w:rPr>
                <w:sz w:val="18"/>
              </w:rPr>
              <w:t>Altura de 90 px en la referencia amplia.</w:t>
            </w:r>
          </w:p>
        </w:tc>
      </w:tr>
      <w:tr>
        <w:trPr>
          <w:cantSplit/>
        </w:trPr>
        <w:tc>
          <w:tcPr>
            <w:tcW w:type="dxa" w:w="2880"/>
            <w:vAlign w:val="center"/>
            <w:shd w:fill="FFFFFF"/>
          </w:tcPr>
          <w:p>
            <w:pPr>
              <w:pStyle w:val="TableBody"/>
            </w:pPr>
            <w:r>
              <w:rPr>
                <w:sz w:val="18"/>
              </w:rPr>
              <w:t>Sección estándar</w:t>
            </w:r>
          </w:p>
        </w:tc>
        <w:tc>
          <w:tcPr>
            <w:tcW w:type="dxa" w:w="7229"/>
            <w:vAlign w:val="center"/>
            <w:shd w:fill="FFFFFF"/>
          </w:tcPr>
          <w:p>
            <w:pPr>
              <w:pStyle w:val="TableBody"/>
            </w:pPr>
            <w:r>
              <w:rPr>
                <w:sz w:val="18"/>
              </w:rPr>
              <w:t>Espaciado vertical cercano a 110 px en escritorio.</w:t>
            </w:r>
          </w:p>
        </w:tc>
      </w:tr>
      <w:tr>
        <w:trPr>
          <w:cantSplit/>
        </w:trPr>
        <w:tc>
          <w:tcPr>
            <w:tcW w:type="dxa" w:w="2880"/>
            <w:vAlign w:val="center"/>
            <w:shd w:fill="F7F9FD"/>
          </w:tcPr>
          <w:p>
            <w:pPr>
              <w:pStyle w:val="TableBody"/>
            </w:pPr>
            <w:r>
              <w:rPr>
                <w:sz w:val="18"/>
              </w:rPr>
              <w:t>Botón general</w:t>
            </w:r>
          </w:p>
        </w:tc>
        <w:tc>
          <w:tcPr>
            <w:tcW w:type="dxa" w:w="7229"/>
            <w:vAlign w:val="center"/>
            <w:shd w:fill="F7F9FD"/>
          </w:tcPr>
          <w:p>
            <w:pPr>
              <w:pStyle w:val="TableBody"/>
            </w:pPr>
            <w:r>
              <w:rPr>
                <w:sz w:val="18"/>
              </w:rPr>
              <w:t>Alto mínimo de 50 px, radio de 6 px; estados sin cambio de ancho.</w:t>
            </w:r>
          </w:p>
        </w:tc>
      </w:tr>
      <w:tr>
        <w:trPr>
          <w:cantSplit/>
        </w:trPr>
        <w:tc>
          <w:tcPr>
            <w:tcW w:type="dxa" w:w="2880"/>
            <w:vAlign w:val="center"/>
            <w:shd w:fill="FFFFFF"/>
          </w:tcPr>
          <w:p>
            <w:pPr>
              <w:pStyle w:val="TableBody"/>
            </w:pPr>
            <w:r>
              <w:rPr>
                <w:sz w:val="18"/>
              </w:rPr>
              <w:t>Barra de viaje</w:t>
            </w:r>
          </w:p>
        </w:tc>
        <w:tc>
          <w:tcPr>
            <w:tcW w:type="dxa" w:w="7229"/>
            <w:vAlign w:val="center"/>
            <w:shd w:fill="FFFFFF"/>
          </w:tcPr>
          <w:p>
            <w:pPr>
              <w:pStyle w:val="TableBody"/>
            </w:pPr>
            <w:r>
              <w:rPr>
                <w:sz w:val="18"/>
              </w:rPr>
              <w:t>Cinco zonas en escritorio: origen, destino/duración, fecha, hora y acción.</w:t>
            </w:r>
          </w:p>
        </w:tc>
      </w:tr>
      <w:tr>
        <w:trPr>
          <w:cantSplit/>
        </w:trPr>
        <w:tc>
          <w:tcPr>
            <w:tcW w:type="dxa" w:w="2880"/>
            <w:vAlign w:val="center"/>
            <w:shd w:fill="F7F9FD"/>
          </w:tcPr>
          <w:p>
            <w:pPr>
              <w:pStyle w:val="TableBody"/>
            </w:pPr>
            <w:r>
              <w:rPr>
                <w:sz w:val="18"/>
              </w:rPr>
              <w:t>Título hero</w:t>
            </w:r>
          </w:p>
        </w:tc>
        <w:tc>
          <w:tcPr>
            <w:tcW w:type="dxa" w:w="7229"/>
            <w:vAlign w:val="center"/>
            <w:shd w:fill="F7F9FD"/>
          </w:tcPr>
          <w:p>
            <w:pPr>
              <w:pStyle w:val="TableBody"/>
            </w:pPr>
            <w:r>
              <w:rPr>
                <w:rFonts w:ascii="Liberation Mono" w:hAnsi="Liberation Mono"/>
                <w:color w:val="001030"/>
                <w:sz w:val="18"/>
              </w:rPr>
              <w:t>clamp(54px, 6.1vw, 92px)</w:t>
            </w:r>
            <w:r>
              <w:rPr>
                <w:sz w:val="18"/>
              </w:rPr>
              <w:t xml:space="preserve"> en la regla amplia; adaptar móvil.</w:t>
            </w:r>
          </w:p>
        </w:tc>
      </w:tr>
      <w:tr>
        <w:trPr>
          <w:cantSplit/>
        </w:trPr>
        <w:tc>
          <w:tcPr>
            <w:tcW w:type="dxa" w:w="2880"/>
            <w:vAlign w:val="center"/>
            <w:shd w:fill="FFFFFF"/>
          </w:tcPr>
          <w:p>
            <w:pPr>
              <w:pStyle w:val="TableBody"/>
            </w:pPr>
            <w:r>
              <w:rPr>
                <w:sz w:val="18"/>
              </w:rPr>
              <w:t>Curva de movimiento</w:t>
            </w:r>
          </w:p>
        </w:tc>
        <w:tc>
          <w:tcPr>
            <w:tcW w:type="dxa" w:w="7229"/>
            <w:vAlign w:val="center"/>
            <w:shd w:fill="FFFFFF"/>
          </w:tcPr>
          <w:p>
            <w:pPr>
              <w:pStyle w:val="TableBody"/>
            </w:pPr>
            <w:r>
              <w:rPr>
                <w:rFonts w:ascii="Liberation Mono" w:hAnsi="Liberation Mono"/>
                <w:color w:val="001030"/>
                <w:sz w:val="18"/>
              </w:rPr>
              <w:t>cubic-bezier(.22,1,.36,1)</w:t>
            </w:r>
            <w:r>
              <w:rPr>
                <w:sz w:val="18"/>
              </w:rPr>
              <w:t>, ya compatible con recursos de la maqueta.</w:t>
            </w:r>
          </w:p>
        </w:tc>
      </w:tr>
      <w:tr>
        <w:trPr>
          <w:cantSplit/>
        </w:trPr>
        <w:tc>
          <w:tcPr>
            <w:tcW w:type="dxa" w:w="2880"/>
            <w:vAlign w:val="center"/>
            <w:shd w:fill="F7F9FD"/>
          </w:tcPr>
          <w:p>
            <w:pPr>
              <w:pStyle w:val="TableBody"/>
            </w:pPr>
            <w:r>
              <w:rPr>
                <w:sz w:val="18"/>
              </w:rPr>
              <w:t>Superficies y bordes</w:t>
            </w:r>
          </w:p>
        </w:tc>
        <w:tc>
          <w:tcPr>
            <w:tcW w:type="dxa" w:w="7229"/>
            <w:vAlign w:val="center"/>
            <w:shd w:fill="F7F9FD"/>
          </w:tcPr>
          <w:p>
            <w:pPr>
              <w:pStyle w:val="TableBody"/>
            </w:pPr>
            <w:r>
              <w:rPr>
                <w:sz w:val="18"/>
              </w:rPr>
              <w:t>Blanco/frío, marino y acentos azules; sombras moderadas.</w:t>
            </w:r>
          </w:p>
        </w:tc>
      </w:tr>
    </w:tbl>
    <w:p>
      <w:pPr>
        <w:spacing w:after="40"/>
      </w:pPr>
    </w:p>
    <w:p>
      <w:r>
        <w:t>No fijes 90 px, 110 px o un mínimo de hero alto en todas las pantallas. No comprimas labels funcionales a 10 px para conservar una barra horizontal. El diseño posterior usa texto pequeño en varios puntos; revisa una escala legible y accesible sin destruir su limpieza.</w:t>
      </w:r>
    </w:p>
    <w:p>
      <w:pPr>
        <w:pStyle w:val="Heading2"/>
      </w:pPr>
      <w:r>
        <w:t>07.3 Tipografía y consistencia</w:t>
      </w:r>
    </w:p>
    <w:p>
      <w:r>
        <w:t>Mantén una sans serif clara para navegación, formularios, datos y cuerpo; una serif editorial para títulos seleccionados. El repositorio tiene Inter y Playfair Display como provisionales. Conserva inicialmente una combinación disponible y consistente; no importe automáticamente Manrope/Instrument Serif de CHARIS ni fuentes comerciales no confirmadas.</w:t>
      </w:r>
    </w:p>
    <w:p>
      <w:r>
        <w:t>No uses tres jerarquías distintas en Home, login y portal. Documenta tamaños, pesos, interlineado, ancho de texto y espaciado. Los importes y horas pueden usar cifras tabulares de la familia existente. Revisa español, eñes, tildes, nombres largos y símbolos monetarios. La carga de fuentes debe tener fallback visible y no producir un salto grande ni un destello de estilos dislocados.</w:t>
      </w:r>
    </w:p>
    <w:p>
      <w:pPr>
        <w:pStyle w:val="Heading1"/>
      </w:pPr>
      <w:r>
        <w:t>08. Arquitectura integrada y vida del estado</w:t>
      </w:r>
    </w:p>
    <w:p>
      <w:r>
        <w:rPr>
          <w:b/>
        </w:rPr>
        <w:t>Objetivo:</w:t>
      </w:r>
      <w:r>
        <w:t xml:space="preserve"> una aplicación nativa en el workspace original. No resolver la tarea con </w:t>
      </w:r>
      <w:r>
        <w:rPr>
          <w:rFonts w:ascii="Liberation Mono" w:hAnsi="Liberation Mono"/>
          <w:color w:val="001030"/>
          <w:sz w:val="18"/>
        </w:rPr>
        <w:t>iframe</w:t>
      </w:r>
      <w:r>
        <w:t xml:space="preserve">, router por hash, parches globales a </w:t>
      </w:r>
      <w:r>
        <w:rPr>
          <w:rFonts w:ascii="Liberation Mono" w:hAnsi="Liberation Mono"/>
          <w:color w:val="001030"/>
          <w:sz w:val="18"/>
        </w:rPr>
        <w:t>window.history</w:t>
      </w:r>
      <w:r>
        <w:t>, inclusión del HTML como página ni otro runtime React. [C02/C03; mandato actual]</w:t>
      </w:r>
    </w:p>
    <w:p>
      <w:r>
        <w:t xml:space="preserve">Cada </w:t>
      </w:r>
      <w:r>
        <w:rPr>
          <w:rFonts w:ascii="Liberation Mono" w:hAnsi="Liberation Mono"/>
          <w:color w:val="001030"/>
          <w:sz w:val="18"/>
        </w:rPr>
        <w:t>page.tsx</w:t>
      </w:r>
      <w:r>
        <w:t xml:space="preserve"> utiliza el router existente y renderiza componentes compartidos. Mantén rutas que ya recibe el usuario; agrega nuevas solo cuando su responsabilidad lo justifique. Un área </w:t>
      </w:r>
      <w:r>
        <w:rPr>
          <w:rFonts w:ascii="Liberation Mono" w:hAnsi="Liberation Mono"/>
          <w:color w:val="001030"/>
          <w:sz w:val="18"/>
        </w:rPr>
        <w:t>features/ascenta</w:t>
      </w:r>
      <w:r>
        <w:t xml:space="preserve"> puede ordenar la implementación candidata, pero no debe convertirse en una segunda app monolítica que ignore el framework y duplique todos los componentes útiles.</w:t>
      </w:r>
    </w:p>
    <w:p>
      <w:r>
        <w:t xml:space="preserve">Sitúa estado de idioma, sesión y borrador en un nivel persistente adecuado del layout. No vuelvas a montar el proveedor por cada ruta ni lo sitúes dentro de un contenedor con </w:t>
      </w:r>
      <w:r>
        <w:rPr>
          <w:rFonts w:ascii="Liberation Mono" w:hAnsi="Liberation Mono"/>
          <w:color w:val="001030"/>
          <w:sz w:val="18"/>
        </w:rPr>
        <w:t>key={pathname}</w:t>
      </w:r>
      <w:r>
        <w:t xml:space="preserve">. Si </w:t>
      </w:r>
      <w:r>
        <w:rPr>
          <w:rFonts w:ascii="Liberation Mono" w:hAnsi="Liberation Mono"/>
          <w:color w:val="001030"/>
          <w:sz w:val="18"/>
        </w:rPr>
        <w:t>PageTransition</w:t>
      </w:r>
      <w:r>
        <w:t xml:space="preserve"> cambia esa clave, aplica la transición al contenido sin destruir el proveedor. Verifica back/forward, links normales, apertura directa, recarga y navegación a anclas.</w:t>
      </w:r>
    </w:p>
    <w:p>
      <w:r>
        <w:t xml:space="preserve">Distingue el estado inicial del servidor de la hidratación del navegador. No leas </w:t>
      </w:r>
      <w:r>
        <w:rPr>
          <w:rFonts w:ascii="Liberation Mono" w:hAnsi="Liberation Mono"/>
          <w:color w:val="001030"/>
          <w:sz w:val="18"/>
        </w:rPr>
        <w:t>window</w:t>
      </w:r>
      <w:r>
        <w:t xml:space="preserve">, </w:t>
      </w:r>
      <w:r>
        <w:rPr>
          <w:rFonts w:ascii="Liberation Mono" w:hAnsi="Liberation Mono"/>
          <w:color w:val="001030"/>
          <w:sz w:val="18"/>
        </w:rPr>
        <w:t>document</w:t>
      </w:r>
      <w:r>
        <w:t xml:space="preserve">, </w:t>
      </w:r>
      <w:r>
        <w:rPr>
          <w:rFonts w:ascii="Liberation Mono" w:hAnsi="Liberation Mono"/>
          <w:color w:val="001030"/>
          <w:sz w:val="18"/>
        </w:rPr>
        <w:t>localStorage</w:t>
      </w:r>
      <w:r>
        <w:t xml:space="preserve"> o medidas de viewport durante el render del servidor. Presenta valores iniciales estables; restaura preferencias y borrador deliberadamente. No copies datos privados de una sesión anterior al iniciar otra. No uses una sesión inventada para evitar un loading.</w:t>
      </w:r>
    </w:p>
    <w:p>
      <w:r>
        <w:t>No declares una página pública completa como client-only por comodidad si eso pierde su contenido inicial. Mantén el contenido editorial y metadatos donde el framework los soporte y acota la interacción cliente a formularios, menú, idioma y movimiento. Documenta cualquier restricción específica de Vinext y compruébala allí, no solo en documentación de Next.</w:t>
      </w:r>
    </w:p>
    <w:p>
      <w:pPr>
        <w:pStyle w:val="Heading2"/>
      </w:pPr>
      <w:r>
        <w:t>08.1 API original y candidato posterior</w:t>
      </w:r>
    </w:p>
    <w:p>
      <w:r>
        <w:t>El original tiene API v1, cookies, autenticación y modelos de datos. El candidato añade un espacio v2 opt-in y puede mantener cookies separadas. Primero dibuja qué página llama a cuál endpoint, qué usuario reconoce cada sesión y qué adaptador persiste los datos. Evita dos cuentas para el mismo correo o dos listados contradictorios del mismo viaje.</w:t>
      </w:r>
    </w:p>
    <w:p>
      <w:r>
        <w:t xml:space="preserve">Prefiere extender contratos y responsabilidades existentes cuando resulte compatible. Si conservas v2, deja explícitos convivencia, catálogo, identidad, reservas, CSRF, logout y transición; prueba compatibilidad. No retires v1 con </w:t>
      </w:r>
      <w:r>
        <w:rPr>
          <w:rFonts w:ascii="Liberation Mono" w:hAnsi="Liberation Mono"/>
          <w:color w:val="001030"/>
          <w:sz w:val="18"/>
        </w:rPr>
        <w:t>410</w:t>
      </w:r>
      <w:r>
        <w:t xml:space="preserve"> en bloque. No implementes una “sesión única” solo compartiendo el nombre de cookie; debe existir soporte coherente de servidor y permisos.</w:t>
      </w:r>
    </w:p>
    <w:p>
      <w:r>
        <w:t>Las cuentas bcrypt anteriores deben seguir pudiendo autenticarse. La presencia de scrypt en el candidato no autoriza reemplazar contraseñas, truncarlas o degradar la validación. Prueba hashes heredados y nuevos si adoptas ambos formatos; una política nueva de alta no debe invalidar silenciosamente contraseñas existentes.</w:t>
      </w:r>
    </w:p>
    <w:p>
      <w:pPr>
        <w:pStyle w:val="Heading1"/>
      </w:pPr>
      <w:r>
        <w:t>09. Mapa de páginas y navegación</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Ruta o área</w:t>
            </w:r>
          </w:p>
        </w:tc>
        <w:tc>
          <w:tcPr>
            <w:tcW w:type="dxa" w:w="7229"/>
            <w:vAlign w:val="center"/>
            <w:shd w:fill="001030"/>
          </w:tcPr>
          <w:p>
            <w:pPr>
              <w:pStyle w:val="TableBody"/>
            </w:pPr>
            <w:r>
              <w:rPr>
                <w:b/>
                <w:color w:val="FFFFFF"/>
                <w:sz w:val="18"/>
              </w:rPr>
              <w:t>Propósito y requisito</w:t>
            </w:r>
          </w:p>
        </w:tc>
      </w:tr>
      <w:tr>
        <w:trPr>
          <w:cantSplit/>
        </w:trPr>
        <w:tc>
          <w:tcPr>
            <w:tcW w:type="dxa" w:w="2880"/>
            <w:vAlign w:val="center"/>
            <w:shd w:fill="F7F9FD"/>
          </w:tcPr>
          <w:p>
            <w:pPr>
              <w:pStyle w:val="TableBody"/>
            </w:pPr>
            <w:r>
              <w:rPr>
                <w:rFonts w:ascii="Liberation Mono" w:hAnsi="Liberation Mono"/>
                <w:color w:val="001030"/>
                <w:sz w:val="18"/>
              </w:rPr>
              <w:t>/</w:t>
            </w:r>
          </w:p>
        </w:tc>
        <w:tc>
          <w:tcPr>
            <w:tcW w:type="dxa" w:w="7229"/>
            <w:vAlign w:val="center"/>
            <w:shd w:fill="F7F9FD"/>
          </w:tcPr>
          <w:p>
            <w:pPr>
              <w:pStyle w:val="TableBody"/>
            </w:pPr>
            <w:r>
              <w:rPr>
                <w:sz w:val="18"/>
              </w:rPr>
              <w:t>Home editorial, entrada de viaje y acceso claro. No exige cuenta para explorar o preparar datos.</w:t>
            </w:r>
          </w:p>
        </w:tc>
      </w:tr>
      <w:tr>
        <w:trPr>
          <w:cantSplit/>
        </w:trPr>
        <w:tc>
          <w:tcPr>
            <w:tcW w:type="dxa" w:w="2880"/>
            <w:vAlign w:val="center"/>
            <w:shd w:fill="FFFFFF"/>
          </w:tcPr>
          <w:p>
            <w:pPr>
              <w:pStyle w:val="TableBody"/>
            </w:pPr>
            <w:r>
              <w:rPr>
                <w:rFonts w:ascii="Liberation Mono" w:hAnsi="Liberation Mono"/>
                <w:color w:val="001030"/>
                <w:sz w:val="18"/>
              </w:rPr>
              <w:t>/services</w:t>
            </w:r>
          </w:p>
        </w:tc>
        <w:tc>
          <w:tcPr>
            <w:tcW w:type="dxa" w:w="7229"/>
            <w:vAlign w:val="center"/>
            <w:shd w:fill="FFFFFF"/>
          </w:tcPr>
          <w:p>
            <w:pPr>
              <w:pStyle w:val="TableBody"/>
            </w:pPr>
            <w:r>
              <w:rPr>
                <w:sz w:val="18"/>
              </w:rPr>
              <w:t>Catálogo comercial explicable; enlaces preservan intención de servicio.</w:t>
            </w:r>
          </w:p>
        </w:tc>
      </w:tr>
      <w:tr>
        <w:trPr>
          <w:cantSplit/>
        </w:trPr>
        <w:tc>
          <w:tcPr>
            <w:tcW w:type="dxa" w:w="2880"/>
            <w:vAlign w:val="center"/>
            <w:shd w:fill="F7F9FD"/>
          </w:tcPr>
          <w:p>
            <w:pPr>
              <w:pStyle w:val="TableBody"/>
            </w:pPr>
            <w:r>
              <w:rPr>
                <w:rFonts w:ascii="Liberation Mono" w:hAnsi="Liberation Mono"/>
                <w:color w:val="001030"/>
                <w:sz w:val="18"/>
              </w:rPr>
              <w:t>/fleet</w:t>
            </w:r>
          </w:p>
        </w:tc>
        <w:tc>
          <w:tcPr>
            <w:tcW w:type="dxa" w:w="7229"/>
            <w:vAlign w:val="center"/>
            <w:shd w:fill="F7F9FD"/>
          </w:tcPr>
          <w:p>
            <w:pPr>
              <w:pStyle w:val="TableBody"/>
            </w:pPr>
            <w:r>
              <w:rPr>
                <w:sz w:val="18"/>
              </w:rPr>
              <w:t>Categorías y preferencias con datos verificables; no flota propia inventada.</w:t>
            </w:r>
          </w:p>
        </w:tc>
      </w:tr>
      <w:tr>
        <w:trPr>
          <w:cantSplit/>
        </w:trPr>
        <w:tc>
          <w:tcPr>
            <w:tcW w:type="dxa" w:w="2880"/>
            <w:vAlign w:val="center"/>
            <w:shd w:fill="FFFFFF"/>
          </w:tcPr>
          <w:p>
            <w:pPr>
              <w:pStyle w:val="TableBody"/>
            </w:pPr>
            <w:r>
              <w:rPr>
                <w:rFonts w:ascii="Liberation Mono" w:hAnsi="Liberation Mono"/>
                <w:color w:val="001030"/>
                <w:sz w:val="18"/>
              </w:rPr>
              <w:t>/booking</w:t>
            </w:r>
          </w:p>
        </w:tc>
        <w:tc>
          <w:tcPr>
            <w:tcW w:type="dxa" w:w="7229"/>
            <w:vAlign w:val="center"/>
            <w:shd w:fill="FFFFFF"/>
          </w:tcPr>
          <w:p>
            <w:pPr>
              <w:pStyle w:val="TableBody"/>
            </w:pPr>
            <w:r>
              <w:rPr>
                <w:sz w:val="18"/>
              </w:rPr>
              <w:t>Cuatro decisiones de viaje con continuidad, revisión y solicitud real.</w:t>
            </w:r>
          </w:p>
        </w:tc>
      </w:tr>
      <w:tr>
        <w:trPr>
          <w:cantSplit/>
        </w:trPr>
        <w:tc>
          <w:tcPr>
            <w:tcW w:type="dxa" w:w="2880"/>
            <w:vAlign w:val="center"/>
            <w:shd w:fill="F7F9FD"/>
          </w:tcPr>
          <w:p>
            <w:pPr>
              <w:pStyle w:val="TableBody"/>
            </w:pPr>
            <w:r>
              <w:rPr>
                <w:rFonts w:ascii="Liberation Mono" w:hAnsi="Liberation Mono"/>
                <w:color w:val="001030"/>
                <w:sz w:val="18"/>
              </w:rPr>
              <w:t>/login</w:t>
            </w:r>
          </w:p>
        </w:tc>
        <w:tc>
          <w:tcPr>
            <w:tcW w:type="dxa" w:w="7229"/>
            <w:vAlign w:val="center"/>
            <w:shd w:fill="F7F9FD"/>
          </w:tcPr>
          <w:p>
            <w:pPr>
              <w:pStyle w:val="TableBody"/>
            </w:pPr>
            <w:r>
              <w:rPr>
                <w:sz w:val="18"/>
              </w:rPr>
              <w:t>Acceso, alta, verificación y recuperación con retorno permitido.</w:t>
            </w:r>
          </w:p>
        </w:tc>
      </w:tr>
      <w:tr>
        <w:trPr>
          <w:cantSplit/>
        </w:trPr>
        <w:tc>
          <w:tcPr>
            <w:tcW w:type="dxa" w:w="2880"/>
            <w:vAlign w:val="center"/>
            <w:shd w:fill="FFFFFF"/>
          </w:tcPr>
          <w:p>
            <w:pPr>
              <w:pStyle w:val="TableBody"/>
            </w:pPr>
            <w:r>
              <w:rPr>
                <w:rFonts w:ascii="Liberation Mono" w:hAnsi="Liberation Mono"/>
                <w:color w:val="001030"/>
                <w:sz w:val="18"/>
              </w:rPr>
              <w:t>/dashboard</w:t>
            </w:r>
          </w:p>
        </w:tc>
        <w:tc>
          <w:tcPr>
            <w:tcW w:type="dxa" w:w="7229"/>
            <w:vAlign w:val="center"/>
            <w:shd w:fill="FFFFFF"/>
          </w:tcPr>
          <w:p>
            <w:pPr>
              <w:pStyle w:val="TableBody"/>
            </w:pPr>
            <w:r>
              <w:rPr>
                <w:sz w:val="18"/>
              </w:rPr>
              <w:t>Cuenta personal: solicitudes y viajes del usuario real.</w:t>
            </w:r>
          </w:p>
        </w:tc>
      </w:tr>
      <w:tr>
        <w:trPr>
          <w:cantSplit/>
        </w:trPr>
        <w:tc>
          <w:tcPr>
            <w:tcW w:type="dxa" w:w="2880"/>
            <w:vAlign w:val="center"/>
            <w:shd w:fill="F7F9FD"/>
          </w:tcPr>
          <w:p>
            <w:pPr>
              <w:pStyle w:val="TableBody"/>
            </w:pPr>
            <w:r>
              <w:rPr>
                <w:rFonts w:ascii="Liberation Mono" w:hAnsi="Liberation Mono"/>
                <w:color w:val="001030"/>
                <w:sz w:val="18"/>
              </w:rPr>
              <w:t>/corporate</w:t>
            </w:r>
          </w:p>
        </w:tc>
        <w:tc>
          <w:tcPr>
            <w:tcW w:type="dxa" w:w="7229"/>
            <w:vAlign w:val="center"/>
            <w:shd w:fill="F7F9FD"/>
          </w:tcPr>
          <w:p>
            <w:pPr>
              <w:pStyle w:val="TableBody"/>
            </w:pPr>
            <w:r>
              <w:rPr>
                <w:sz w:val="18"/>
              </w:rPr>
              <w:t>Portal de empresa autorizado, no landing de captación.</w:t>
            </w:r>
          </w:p>
        </w:tc>
      </w:tr>
      <w:tr>
        <w:trPr>
          <w:cantSplit/>
        </w:trPr>
        <w:tc>
          <w:tcPr>
            <w:tcW w:type="dxa" w:w="2880"/>
            <w:vAlign w:val="center"/>
            <w:shd w:fill="FFFFFF"/>
          </w:tcPr>
          <w:p>
            <w:pPr>
              <w:pStyle w:val="TableBody"/>
            </w:pPr>
            <w:r>
              <w:rPr>
                <w:rFonts w:ascii="Liberation Mono" w:hAnsi="Liberation Mono"/>
                <w:color w:val="001030"/>
                <w:sz w:val="18"/>
              </w:rPr>
              <w:t>/corporate/usage</w:t>
            </w:r>
          </w:p>
        </w:tc>
        <w:tc>
          <w:tcPr>
            <w:tcW w:type="dxa" w:w="7229"/>
            <w:vAlign w:val="center"/>
            <w:shd w:fill="FFFFFF"/>
          </w:tcPr>
          <w:p>
            <w:pPr>
              <w:pStyle w:val="TableBody"/>
            </w:pPr>
            <w:r>
              <w:rPr>
                <w:sz w:val="18"/>
              </w:rPr>
              <w:t>Área empresarial con datos reales o estado explícito; sin gráficas o CSV ficticios.</w:t>
            </w:r>
          </w:p>
        </w:tc>
      </w:tr>
      <w:tr>
        <w:trPr>
          <w:cantSplit/>
        </w:trPr>
        <w:tc>
          <w:tcPr>
            <w:tcW w:type="dxa" w:w="2880"/>
            <w:vAlign w:val="center"/>
            <w:shd w:fill="F7F9FD"/>
          </w:tcPr>
          <w:p>
            <w:pPr>
              <w:pStyle w:val="TableBody"/>
            </w:pPr>
            <w:r>
              <w:rPr>
                <w:rFonts w:ascii="Liberation Mono" w:hAnsi="Liberation Mono"/>
                <w:color w:val="001030"/>
                <w:sz w:val="18"/>
              </w:rPr>
              <w:t>/business</w:t>
            </w:r>
          </w:p>
        </w:tc>
        <w:tc>
          <w:tcPr>
            <w:tcW w:type="dxa" w:w="7229"/>
            <w:vAlign w:val="center"/>
            <w:shd w:fill="F7F9FD"/>
          </w:tcPr>
          <w:p>
            <w:pPr>
              <w:pStyle w:val="TableBody"/>
            </w:pPr>
            <w:r>
              <w:rPr>
                <w:sz w:val="18"/>
              </w:rPr>
              <w:t>Propuesta empresarial pública y consulta; accesible sin rol corporativo.</w:t>
            </w:r>
          </w:p>
        </w:tc>
      </w:tr>
      <w:tr>
        <w:trPr>
          <w:cantSplit/>
        </w:trPr>
        <w:tc>
          <w:tcPr>
            <w:tcW w:type="dxa" w:w="2880"/>
            <w:vAlign w:val="center"/>
            <w:shd w:fill="FFFFFF"/>
          </w:tcPr>
          <w:p>
            <w:pPr>
              <w:pStyle w:val="TableBody"/>
            </w:pPr>
            <w:r>
              <w:rPr>
                <w:rFonts w:ascii="Liberation Mono" w:hAnsi="Liberation Mono"/>
                <w:color w:val="001030"/>
                <w:sz w:val="18"/>
              </w:rPr>
              <w:t>/contact</w:t>
            </w:r>
            <w:r>
              <w:rPr>
                <w:sz w:val="18"/>
              </w:rPr>
              <w:t xml:space="preserve">, </w:t>
            </w:r>
            <w:r>
              <w:rPr>
                <w:rFonts w:ascii="Liberation Mono" w:hAnsi="Liberation Mono"/>
                <w:color w:val="001030"/>
                <w:sz w:val="18"/>
              </w:rPr>
              <w:t>/help</w:t>
            </w:r>
          </w:p>
        </w:tc>
        <w:tc>
          <w:tcPr>
            <w:tcW w:type="dxa" w:w="7229"/>
            <w:vAlign w:val="center"/>
            <w:shd w:fill="FFFFFF"/>
          </w:tcPr>
          <w:p>
            <w:pPr>
              <w:pStyle w:val="TableBody"/>
            </w:pPr>
            <w:r>
              <w:rPr>
                <w:sz w:val="18"/>
              </w:rPr>
              <w:t>Consulta persistida y ayuda con respuestas aprobadas.</w:t>
            </w:r>
          </w:p>
        </w:tc>
      </w:tr>
      <w:tr>
        <w:trPr>
          <w:cantSplit/>
        </w:trPr>
        <w:tc>
          <w:tcPr>
            <w:tcW w:type="dxa" w:w="2880"/>
            <w:vAlign w:val="center"/>
            <w:shd w:fill="F7F9FD"/>
          </w:tcPr>
          <w:p>
            <w:pPr>
              <w:pStyle w:val="TableBody"/>
            </w:pPr>
            <w:r>
              <w:rPr>
                <w:rFonts w:ascii="Liberation Mono" w:hAnsi="Liberation Mono"/>
                <w:color w:val="001030"/>
                <w:sz w:val="18"/>
              </w:rPr>
              <w:t>/account</w:t>
            </w:r>
          </w:p>
        </w:tc>
        <w:tc>
          <w:tcPr>
            <w:tcW w:type="dxa" w:w="7229"/>
            <w:vAlign w:val="center"/>
            <w:shd w:fill="F7F9FD"/>
          </w:tcPr>
          <w:p>
            <w:pPr>
              <w:pStyle w:val="TableBody"/>
            </w:pPr>
            <w:r>
              <w:rPr>
                <w:sz w:val="18"/>
              </w:rPr>
              <w:t>Ajustes personales si esa separación aporta claridad; no un segundo dashboard sin función.</w:t>
            </w:r>
          </w:p>
        </w:tc>
      </w:tr>
      <w:tr>
        <w:trPr>
          <w:cantSplit/>
        </w:trPr>
        <w:tc>
          <w:tcPr>
            <w:tcW w:type="dxa" w:w="2880"/>
            <w:vAlign w:val="center"/>
            <w:shd w:fill="FFFFFF"/>
          </w:tcPr>
          <w:p>
            <w:pPr>
              <w:pStyle w:val="TableBody"/>
            </w:pPr>
            <w:r>
              <w:rPr>
                <w:rFonts w:ascii="Liberation Mono" w:hAnsi="Liberation Mono"/>
                <w:color w:val="001030"/>
                <w:sz w:val="18"/>
              </w:rPr>
              <w:t>/admin</w:t>
            </w:r>
          </w:p>
        </w:tc>
        <w:tc>
          <w:tcPr>
            <w:tcW w:type="dxa" w:w="7229"/>
            <w:vAlign w:val="center"/>
            <w:shd w:fill="FFFFFF"/>
          </w:tcPr>
          <w:p>
            <w:pPr>
              <w:pStyle w:val="TableBody"/>
            </w:pPr>
            <w:r>
              <w:rPr>
                <w:sz w:val="18"/>
              </w:rPr>
              <w:t>Operación interna con autorización de servidor; sin acceso por simple registro.</w:t>
            </w:r>
          </w:p>
        </w:tc>
      </w:tr>
      <w:tr>
        <w:trPr>
          <w:cantSplit/>
        </w:trPr>
        <w:tc>
          <w:tcPr>
            <w:tcW w:type="dxa" w:w="2880"/>
            <w:vAlign w:val="center"/>
            <w:shd w:fill="F7F9FD"/>
          </w:tcPr>
          <w:p>
            <w:pPr>
              <w:pStyle w:val="TableBody"/>
            </w:pPr>
            <w:r>
              <w:rPr>
                <w:rFonts w:ascii="Liberation Mono" w:hAnsi="Liberation Mono"/>
                <w:color w:val="001030"/>
                <w:sz w:val="18"/>
              </w:rPr>
              <w:t>/privacy</w:t>
            </w:r>
            <w:r>
              <w:rPr>
                <w:sz w:val="18"/>
              </w:rPr>
              <w:t xml:space="preserve">, </w:t>
            </w:r>
            <w:r>
              <w:rPr>
                <w:rFonts w:ascii="Liberation Mono" w:hAnsi="Liberation Mono"/>
                <w:color w:val="001030"/>
                <w:sz w:val="18"/>
              </w:rPr>
              <w:t>/terms</w:t>
            </w:r>
          </w:p>
        </w:tc>
        <w:tc>
          <w:tcPr>
            <w:tcW w:type="dxa" w:w="7229"/>
            <w:vAlign w:val="center"/>
            <w:shd w:fill="F7F9FD"/>
          </w:tcPr>
          <w:p>
            <w:pPr>
              <w:pStyle w:val="TableBody"/>
            </w:pPr>
            <w:r>
              <w:rPr>
                <w:sz w:val="18"/>
              </w:rPr>
              <w:t>Contenido propio validado o avisos de revisión explícitos en desarrollo. No legislación inventada.</w:t>
            </w:r>
          </w:p>
        </w:tc>
      </w:tr>
      <w:tr>
        <w:trPr>
          <w:cantSplit/>
        </w:trPr>
        <w:tc>
          <w:tcPr>
            <w:tcW w:type="dxa" w:w="2880"/>
            <w:vAlign w:val="center"/>
            <w:shd w:fill="FFFFFF"/>
          </w:tcPr>
          <w:p>
            <w:pPr>
              <w:pStyle w:val="TableBody"/>
            </w:pPr>
            <w:r>
              <w:rPr>
                <w:rFonts w:ascii="Liberation Mono" w:hAnsi="Liberation Mono"/>
                <w:color w:val="001030"/>
                <w:sz w:val="18"/>
              </w:rPr>
              <w:t>/development</w:t>
            </w:r>
            <w:r>
              <w:rPr>
                <w:sz w:val="18"/>
              </w:rPr>
              <w:t xml:space="preserve"> o equivalente</w:t>
            </w:r>
          </w:p>
        </w:tc>
        <w:tc>
          <w:tcPr>
            <w:tcW w:type="dxa" w:w="7229"/>
            <w:vAlign w:val="center"/>
            <w:shd w:fill="FFFFFF"/>
          </w:tcPr>
          <w:p>
            <w:pPr>
              <w:pStyle w:val="TableBody"/>
            </w:pPr>
            <w:r>
              <w:rPr>
                <w:sz w:val="18"/>
              </w:rPr>
              <w:t>Buzón/herramientas exclusivamente locales y protegidos; nunca área pública de producción.</w:t>
            </w:r>
          </w:p>
        </w:tc>
      </w:tr>
      <w:tr>
        <w:trPr>
          <w:cantSplit/>
        </w:trPr>
        <w:tc>
          <w:tcPr>
            <w:tcW w:type="dxa" w:w="2880"/>
            <w:vAlign w:val="center"/>
            <w:shd w:fill="F7F9FD"/>
          </w:tcPr>
          <w:p>
            <w:pPr>
              <w:pStyle w:val="TableBody"/>
            </w:pPr>
            <w:r>
              <w:rPr>
                <w:sz w:val="18"/>
              </w:rPr>
              <w:t>404 y error de aplicación</w:t>
            </w:r>
          </w:p>
        </w:tc>
        <w:tc>
          <w:tcPr>
            <w:tcW w:type="dxa" w:w="7229"/>
            <w:vAlign w:val="center"/>
            <w:shd w:fill="F7F9FD"/>
          </w:tcPr>
          <w:p>
            <w:pPr>
              <w:pStyle w:val="TableBody"/>
            </w:pPr>
            <w:r>
              <w:rPr>
                <w:sz w:val="18"/>
              </w:rPr>
              <w:t>Identidad, explicación útil y camino de retorno; no stack trace al cliente.</w:t>
            </w:r>
          </w:p>
        </w:tc>
      </w:tr>
    </w:tbl>
    <w:p>
      <w:pPr>
        <w:spacing w:after="40"/>
      </w:pPr>
    </w:p>
    <w:p>
      <w:r>
        <w:t>Las primeras ocho rutas están documentadas en la maqueta original. Las demás aparecen como propuestas o implementaciones candidatas posteriores. Reutiliza equivalentes presentes y evita duplicarlas. Si se cambia una URL, documenta redirecciones y prueba entradas directas. No agregues decenas de páginas locales o servicios vacíos solo para llenar un menú. [D02 parte III §04; D03 §10; C02]</w:t>
      </w:r>
    </w:p>
    <w:p>
      <w:pPr>
        <w:pStyle w:val="Heading2"/>
      </w:pPr>
      <w:r>
        <w:t>09.1 Idiomas</w:t>
      </w:r>
    </w:p>
    <w:p>
      <w:r>
        <w:t>Conserva inglés y español, presentes en la revisión posterior y en el antecedente. La opción debe permanecer cerca del acceso, sin desordenar la cabecera. Cambiar idioma conserva ruta, intención, borrador y sesión. Traduce labels, ayuda, errores, estados, correo de pruebas y títulos; no cambies códigos persistidos ni zonas horarias al traducir.</w:t>
      </w:r>
    </w:p>
    <w:p>
      <w:r>
        <w:t xml:space="preserve">No impongas prefijos </w:t>
      </w:r>
      <w:r>
        <w:rPr>
          <w:rFonts w:ascii="Liberation Mono" w:hAnsi="Liberation Mono"/>
          <w:color w:val="001030"/>
          <w:sz w:val="18"/>
        </w:rPr>
        <w:t>/en/</w:t>
      </w:r>
      <w:r>
        <w:t xml:space="preserve"> y </w:t>
      </w:r>
      <w:r>
        <w:rPr>
          <w:rFonts w:ascii="Liberation Mono" w:hAnsi="Liberation Mono"/>
          <w:color w:val="001030"/>
          <w:sz w:val="18"/>
        </w:rPr>
        <w:t>/es/</w:t>
      </w:r>
      <w:r>
        <w:t xml:space="preserve"> solo porque D03 los propuso. Decide según router vigente y estrategia de contenido. Ajusta </w:t>
      </w:r>
      <w:r>
        <w:rPr>
          <w:rFonts w:ascii="Liberation Mono" w:hAnsi="Liberation Mono"/>
          <w:color w:val="001030"/>
          <w:sz w:val="18"/>
        </w:rPr>
        <w:t>lang</w:t>
      </w:r>
      <w:r>
        <w:t>, metadatos y, si existen URLs de idiomas, canonical/hreflang reales. No anuncies SEO multilingüe completo si ambos botones solo cambian texto cliente en la misma URL.</w:t>
      </w:r>
    </w:p>
    <w:p>
      <w:pPr>
        <w:pStyle w:val="Heading1"/>
      </w:pPr>
      <w:r>
        <w:t>10. Cabecera contextual y menú móvil</w:t>
      </w:r>
    </w:p>
    <w:p>
      <w:pPr>
        <w:pStyle w:val="Heading2"/>
      </w:pPr>
      <w:r>
        <w:t>10.1 Composición y cuatro contextos</w:t>
      </w:r>
    </w:p>
    <w:p>
      <w:r>
        <w:t>Logo a la izquierda; navegación discreta; idioma, acceso y CTA a la derecha en escritorio. La referencia posterior utiliza Servicios, Nuestra esencia, Empresas y Ayuda; Vehículos puede mantenerse en acceso secundario cuando no quepa. Empresas siempre conduce a la landing pública, no a un guard corporativo.</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Fondo bajo la cabecera</w:t>
            </w:r>
          </w:p>
        </w:tc>
        <w:tc>
          <w:tcPr>
            <w:tcW w:type="dxa" w:w="7229"/>
            <w:vAlign w:val="center"/>
            <w:shd w:fill="001030"/>
          </w:tcPr>
          <w:p>
            <w:pPr>
              <w:pStyle w:val="TableBody"/>
            </w:pPr>
            <w:r>
              <w:rPr>
                <w:b/>
                <w:color w:val="FFFFFF"/>
                <w:sz w:val="18"/>
              </w:rPr>
              <w:t>Tratamiento</w:t>
            </w:r>
          </w:p>
        </w:tc>
      </w:tr>
      <w:tr>
        <w:trPr>
          <w:cantSplit/>
        </w:trPr>
        <w:tc>
          <w:tcPr>
            <w:tcW w:type="dxa" w:w="2880"/>
            <w:vAlign w:val="center"/>
            <w:shd w:fill="F7F9FD"/>
          </w:tcPr>
          <w:p>
            <w:pPr>
              <w:pStyle w:val="TableBody"/>
            </w:pPr>
            <w:r>
              <w:rPr>
                <w:sz w:val="18"/>
              </w:rPr>
              <w:t>Hero fotográfico oscuro</w:t>
            </w:r>
          </w:p>
        </w:tc>
        <w:tc>
          <w:tcPr>
            <w:tcW w:type="dxa" w:w="7229"/>
            <w:vAlign w:val="center"/>
            <w:shd w:fill="F7F9FD"/>
          </w:tcPr>
          <w:p>
            <w:pPr>
              <w:pStyle w:val="TableBody"/>
            </w:pPr>
            <w:r>
              <w:rPr>
                <w:sz w:val="18"/>
              </w:rPr>
              <w:t>Cabecera superpuesta, texto claro y soporte de contraste; marca sobre variante real o superficie clara de respaldo.</w:t>
            </w:r>
          </w:p>
        </w:tc>
      </w:tr>
      <w:tr>
        <w:trPr>
          <w:cantSplit/>
        </w:trPr>
        <w:tc>
          <w:tcPr>
            <w:tcW w:type="dxa" w:w="2880"/>
            <w:vAlign w:val="center"/>
            <w:shd w:fill="FFFFFF"/>
          </w:tcPr>
          <w:p>
            <w:pPr>
              <w:pStyle w:val="TableBody"/>
            </w:pPr>
            <w:r>
              <w:rPr>
                <w:sz w:val="18"/>
              </w:rPr>
              <w:t>Superficie blanca/fría</w:t>
            </w:r>
          </w:p>
        </w:tc>
        <w:tc>
          <w:tcPr>
            <w:tcW w:type="dxa" w:w="7229"/>
            <w:vAlign w:val="center"/>
            <w:shd w:fill="FFFFFF"/>
          </w:tcPr>
          <w:p>
            <w:pPr>
              <w:pStyle w:val="TableBody"/>
            </w:pPr>
            <w:r>
              <w:rPr>
                <w:sz w:val="18"/>
              </w:rPr>
              <w:t>Fondo claro translúcido, texto marino, borde tenue pero suficiente y CTA visible.</w:t>
            </w:r>
          </w:p>
        </w:tc>
      </w:tr>
      <w:tr>
        <w:trPr>
          <w:cantSplit/>
        </w:trPr>
        <w:tc>
          <w:tcPr>
            <w:tcW w:type="dxa" w:w="2880"/>
            <w:vAlign w:val="center"/>
            <w:shd w:fill="F7F9FD"/>
          </w:tcPr>
          <w:p>
            <w:pPr>
              <w:pStyle w:val="TableBody"/>
            </w:pPr>
            <w:r>
              <w:rPr>
                <w:sz w:val="18"/>
              </w:rPr>
              <w:t>Azul claro/de ambiente</w:t>
            </w:r>
          </w:p>
        </w:tc>
        <w:tc>
          <w:tcPr>
            <w:tcW w:type="dxa" w:w="7229"/>
            <w:vAlign w:val="center"/>
            <w:shd w:fill="F7F9FD"/>
          </w:tcPr>
          <w:p>
            <w:pPr>
              <w:pStyle w:val="TableBody"/>
            </w:pPr>
            <w:r>
              <w:rPr>
                <w:sz w:val="18"/>
              </w:rPr>
              <w:t>Lectura marino y superficie compatible; no un cambio de logo ilegible.</w:t>
            </w:r>
          </w:p>
        </w:tc>
      </w:tr>
      <w:tr>
        <w:trPr>
          <w:cantSplit/>
        </w:trPr>
        <w:tc>
          <w:tcPr>
            <w:tcW w:type="dxa" w:w="2880"/>
            <w:vAlign w:val="center"/>
            <w:shd w:fill="FFFFFF"/>
          </w:tcPr>
          <w:p>
            <w:pPr>
              <w:pStyle w:val="TableBody"/>
            </w:pPr>
            <w:r>
              <w:rPr>
                <w:sz w:val="18"/>
              </w:rPr>
              <w:t>Sección marino</w:t>
            </w:r>
          </w:p>
        </w:tc>
        <w:tc>
          <w:tcPr>
            <w:tcW w:type="dxa" w:w="7229"/>
            <w:vAlign w:val="center"/>
            <w:shd w:fill="FFFFFF"/>
          </w:tcPr>
          <w:p>
            <w:pPr>
              <w:pStyle w:val="TableBody"/>
            </w:pPr>
            <w:r>
              <w:rPr>
                <w:sz w:val="18"/>
              </w:rPr>
              <w:t>Superficie oscura legible, enlaces claros y acción diferenciada.</w:t>
            </w:r>
          </w:p>
        </w:tc>
      </w:tr>
    </w:tbl>
    <w:p>
      <w:pPr>
        <w:spacing w:after="40"/>
      </w:pPr>
    </w:p>
    <w:p>
      <w:r>
        <w:t xml:space="preserve">La maqueta original cambiaba con </w:t>
      </w:r>
      <w:r>
        <w:rPr>
          <w:rFonts w:ascii="Liberation Mono" w:hAnsi="Liberation Mono"/>
          <w:color w:val="001030"/>
          <w:sz w:val="18"/>
        </w:rPr>
        <w:t>scrollY &gt; 24</w:t>
      </w:r>
      <w:r>
        <w:t xml:space="preserve">; eso no equivale a contextualidad. Reutiliza su mecanismo de scroll donde convenga y calcula el contexto de la zona efectivamente bajo la cabecera, no de cualquier sección visible. Las secciones pueden declarar </w:t>
      </w:r>
      <w:r>
        <w:rPr>
          <w:rFonts w:ascii="Liberation Mono" w:hAnsi="Liberation Mono"/>
          <w:color w:val="001030"/>
          <w:sz w:val="18"/>
        </w:rPr>
        <w:t>data-nav-theme</w:t>
      </w:r>
      <w:r>
        <w:t>. Añade estabilidad en límites y limpieza de listeners; evita parpadeo por detecciones contradictorias o por el propio header cubriendo el punto de muestreo. [D02 parte III §07]</w:t>
      </w:r>
    </w:p>
    <w:p>
      <w:r>
        <w:t xml:space="preserve">La geometría debe permanecer estable al alternar colores o marca. Si cambias de sticky a fixed, compensa correctamente páginas interiores y anclas. El fondo translúcido tiene fallback legible sin </w:t>
      </w:r>
      <w:r>
        <w:rPr>
          <w:rFonts w:ascii="Liberation Mono" w:hAnsi="Liberation Mono"/>
          <w:color w:val="001030"/>
          <w:sz w:val="18"/>
        </w:rPr>
        <w:t>backdrop-filter</w:t>
      </w:r>
      <w:r>
        <w:t>. No ocultes la cabecera mientras alguien necesita continuar su viaje.</w:t>
      </w:r>
    </w:p>
    <w:p>
      <w:pPr>
        <w:pStyle w:val="Heading2"/>
      </w:pPr>
      <w:r>
        <w:t>10.2 Menú móvil y teclado</w:t>
      </w:r>
    </w:p>
    <w:p>
      <w:r>
        <w:t>Usa un botón real con nombre accesible y estado expandido. El menú debe abrirse sin perder la posición de la página, cerrar con su control, Escape y navegación completada, y devolver foco de forma coherente. Maneja enlaces a anclas de la misma página; cerrar el menú no debe cancelar el desplazamiento al destino. No dejes el body bloqueado después de cerrar o cambiar de ruta.</w:t>
      </w:r>
    </w:p>
    <w:p>
      <w:r>
        <w:t xml:space="preserve">Incluye servicios, esencia, empresas, ayuda, vehículos, acceso/cuenta, idioma y acción principal con jerarquía. No reduzcas los textos para hacer caber la navegación de escritorio. Conserva zonas táctiles amplias. Si se emplea </w:t>
      </w:r>
      <w:r>
        <w:rPr>
          <w:rFonts w:ascii="Liberation Mono" w:hAnsi="Liberation Mono"/>
          <w:color w:val="001030"/>
          <w:sz w:val="18"/>
        </w:rPr>
        <w:t>dialog</w:t>
      </w:r>
      <w:r>
        <w:t>, prueba foco, backdrop, scroll interno, cierre nativo y compatibilidad real; no dependas solo de que el elemento exista.</w:t>
      </w:r>
    </w:p>
    <w:p>
      <w:r>
        <w:rPr>
          <w:b/>
        </w:rPr>
        <w:t>Aceptación:</w:t>
      </w:r>
      <w:r>
        <w:t xml:space="preserve"> abrir en Home y rutas interiores, cambiar entre fondos al bajar/subir, cruzar límites lentamente, cambiar tamaño, abrir/cerrar menú, navegar a </w:t>
      </w:r>
      <w:r>
        <w:rPr>
          <w:rFonts w:ascii="Liberation Mono" w:hAnsi="Liberation Mono"/>
          <w:color w:val="001030"/>
          <w:sz w:val="18"/>
        </w:rPr>
        <w:t>/#experience</w:t>
      </w:r>
      <w:r>
        <w:t xml:space="preserve"> y volver. No debe haber salto de layout, pérdida del borrador, logo deformado ni un CTA fuera de pantalla.</w:t>
      </w:r>
    </w:p>
    <w:p>
      <w:pPr>
        <w:pStyle w:val="Heading1"/>
      </w:pPr>
      <w:r>
        <w:t>11. Home: implementación sección por sección</w:t>
      </w:r>
    </w:p>
    <w:p>
      <w:r>
        <w:rPr>
          <w:b/>
        </w:rPr>
        <w:t>Fuentes:</w:t>
      </w:r>
      <w:r>
        <w:t xml:space="preserve"> D02 parte III §06–08, V06–V09, C03 </w:t>
      </w:r>
      <w:r>
        <w:rPr>
          <w:rFonts w:ascii="Liberation Mono" w:hAnsi="Liberation Mono"/>
          <w:color w:val="001030"/>
          <w:sz w:val="18"/>
        </w:rPr>
        <w:t>home.tsx</w:t>
      </w:r>
      <w:r>
        <w:t xml:space="preserve"> y CSS. La secuencia posterior es una adaptación concreta del criterio editorial; no deben acumularse además los diez bloques sugeridos en septiembre si repiten lo mismo.</w:t>
      </w:r>
    </w:p>
    <w:p>
      <w:pPr>
        <w:pStyle w:val="Heading2"/>
      </w:pPr>
      <w:r>
        <w:t>H01. Hero y comienzo de viaje</w:t>
      </w:r>
    </w:p>
    <w:p>
      <w:r>
        <w:t>Construye la fotografía como capa independiente con punto focal y overlay marino, no como banner que ya contenga todo el texto. Header superpuesto, una idea central y CTA del viaje. El título es HTML: en inglés la referencia presenta “Certainty from” y “reservation to arrival.” en cursiva; en español reorganiza “Certeza desde la reserva” y “hasta la llegada.” sin forzar los mismos saltos en todas las anchuras.</w:t>
      </w:r>
    </w:p>
    <w:p>
      <w:r>
        <w:t>Conserva un apoyo breve y deja respirar fotografía, texto y formulario. No recuperes la tarjeta grande a la derecha, la franja de slogans repetidos, múltiples beneficios simultáneos ni numeraciones ornamentales que saturaban la maqueta. El acento cursivo no debe crear una segunda familia decorativa. La altura debe permitir iniciar el viaje en pantallas bajas sin cortar el botón.</w:t>
      </w:r>
    </w:p>
    <w:p>
      <w:r>
        <w:t>Debajo del titular: selector One way / By the hour, representado con controles accesibles, y barra con origen, destino o duración, fecha, hora y acción. En móvil pasa a una tarjeta vertical. Fecha/hora comparten fila solo cuando cabe; con texto ampliado pueden apilarse. El botón no cambia de ancho al cargar. El aviso distingue solicitud de confirmación, con tamaño legible y sin quedar debajo de una burbuja flotante.</w:t>
      </w:r>
    </w:p>
    <w:p>
      <w:r>
        <w:t xml:space="preserve">El formulario no se resuelve con un enlace fijo a </w:t>
      </w:r>
      <w:r>
        <w:rPr>
          <w:rFonts w:ascii="Liberation Mono" w:hAnsi="Liberation Mono"/>
          <w:color w:val="001030"/>
          <w:sz w:val="18"/>
        </w:rPr>
        <w:t>/booking</w:t>
      </w:r>
      <w:r>
        <w:t>. El envío valida los datos básicos, guarda el borrador compartido y navega conservando valores. El modo y los datos escritos no pueden desaparecer. La selección por horas muestra duración real y no exige silenciosamente un destino oculto. No se promete búsqueda de precio o disponibilidad instantáneos si no existe su fuente.</w:t>
      </w:r>
    </w:p>
    <w:p>
      <w:pPr>
        <w:pStyle w:val="Heading2"/>
      </w:pPr>
      <w:r>
        <w:t>H02. Esencia de ASCENTA y statement reversible</w:t>
      </w:r>
    </w:p>
    <w:p>
      <w:r>
        <w:t>Usa superficie de ambiente, encabezado editorial breve y un statement protagonista. La revisión utiliza “Elevating every journey.” como apoyo. El título debe disminuir y desvanecerse conforme sale de su intervalo local y recorrer inversamente esos valores al subir. No sustituyas ese comportamiento por una aparición de una sola vez.</w:t>
      </w:r>
    </w:p>
    <w:p>
      <w:r>
        <w:t>Mantén el espacio reservado del bloque. Una breve línea de apoyo queda legible y no desaparece junto con todas las instrucciones de la sección. El par de imágenes utiliza dos proporciones compatibles con un desplazamiento vertical editorial moderado, entradas desde izquierda y derecha y pies discretos. En móvil se apilan sin desplazar horizontalmente el documento.</w:t>
      </w:r>
    </w:p>
    <w:p>
      <w:pPr>
        <w:pStyle w:val="Heading2"/>
      </w:pPr>
      <w:r>
        <w:t>H03. Servicios prioritarios</w:t>
      </w:r>
    </w:p>
    <w:p>
      <w:r>
        <w:t>La revisión posterior tiene tres entradas protagonistas: aeropuerto, por horas y viajes de negocio, con enlace a la lista completa. D02 había sugerido cuatro como posibilidad; no añadas una cuarta vacía solo para cumplir un número. Elige las entradas reales disponibles en la configuración del entorno y documenta cuáles son bajo consulta.</w:t>
      </w:r>
    </w:p>
    <w:p>
      <w:r>
        <w:t xml:space="preserve">Cada tarjeta contiene un icono de una familia coherente, título breve, explicación útil y destino claro. Airport y Hourly pasan al mismo viaje preservando el servicio; Business abre </w:t>
      </w:r>
      <w:r>
        <w:rPr>
          <w:rFonts w:ascii="Liberation Mono" w:hAnsi="Liberation Mono"/>
          <w:color w:val="001030"/>
          <w:sz w:val="18"/>
        </w:rPr>
        <w:t>/business</w:t>
      </w:r>
      <w:r>
        <w:t xml:space="preserve">. No muestres etiquetas técnicas como </w:t>
      </w:r>
      <w:r>
        <w:rPr>
          <w:rFonts w:ascii="Liberation Mono" w:hAnsi="Liberation Mono"/>
          <w:color w:val="001030"/>
          <w:sz w:val="18"/>
        </w:rPr>
        <w:t>ONE_WAY</w:t>
      </w:r>
      <w:r>
        <w:t xml:space="preserve"> al cliente. No uses una tarjeta enteramente enlazada con botones anidados en su interior.</w:t>
      </w:r>
    </w:p>
    <w:p>
      <w:pPr>
        <w:pStyle w:val="Heading2"/>
      </w:pPr>
      <w:r>
        <w:t>H04. Cuidado del viaje</w:t>
      </w:r>
    </w:p>
    <w:p>
      <w:r>
        <w:t>Sección marino con fotografía y texto en dos columnas, invertible a una columna en móvil. Resume preparación del viaje, distinción pasajero/solicitante y claridad del estado. La referencia candidata contiene tres puntos con iconos; conserva su orden limpio sin convertirlos en un dashboard de métricas.</w:t>
      </w:r>
    </w:p>
    <w:p>
      <w:r>
        <w:t>El mecanismo sticky de Journey Flow puede reutilizarse en una secuencia más breve o trasladarse a una página de experiencia. No mantengas cuatro artículos de 68vh y cuatro fotos móviles grandes solo porque el componente original existe. La persona debe llegar pronto a servicios, categorías y acción de viaje.</w:t>
      </w:r>
    </w:p>
    <w:p>
      <w:pPr>
        <w:pStyle w:val="Heading2"/>
      </w:pPr>
      <w:r>
        <w:t>H05. Categorías de vehículo</w:t>
      </w:r>
    </w:p>
    <w:p>
      <w:r>
        <w:t>Sección clara con categorías procedentes de una fuente única. La revisión utiliza tarjetas limpias y representación ilustrativa cuando no hay fotos verificadas. No cambies esa limitación por imágenes falsas de flota ni por capacidades inventadas. Si el catálogo falla, muestra estado de carga/error y vía real de consulta; no rellenes con un array comercial ficticio.</w:t>
      </w:r>
    </w:p>
    <w:p>
      <w:r>
        <w:t>Al seleccionar una categoría conserva el borrador y la intención. La disponibilidad de una clase en un catálogo no confirma disponibilidad para una fecha. La capacidad se comprueba en servidor cuando sea una restricción operativa validada. Desactivar una clase impide nuevos envíos que intenten usarla, aunque un cliente manipule el payload.</w:t>
      </w:r>
    </w:p>
    <w:p>
      <w:pPr>
        <w:pStyle w:val="Heading2"/>
      </w:pPr>
      <w:r>
        <w:t>H06. Propuesta empresarial</w:t>
      </w:r>
    </w:p>
    <w:p>
      <w:r>
        <w:t>Composición asimétrica: mensaje para asistentes y coordinadores a un lado; ilustración de proceso o portal real al otro. La revisión muestra datos de viaje, pasajero/solicitante y estado; no copiar las cifras de 38 viajes, 12 viajeros o 76% de la maqueta original.</w:t>
      </w:r>
    </w:p>
    <w:p>
      <w:r>
        <w:t>El CTA conduce a la landing comercial pública. Si usas una captura de portal, que corresponda a la función realmente implementada y esté claramente representada como ilustración con datos de prueba. No añadas badges de App Store/Google Play ni una promesa de app o tracking sin soporte.</w:t>
      </w:r>
    </w:p>
    <w:p>
      <w:pPr>
        <w:pStyle w:val="Heading2"/>
      </w:pPr>
      <w:r>
        <w:t>H07. Cobertura, preguntas y asistencia</w:t>
      </w:r>
    </w:p>
    <w:p>
      <w:r>
        <w:t>El foco editorial histórico es Boston/Greater Boston. Logan, Merrimack Valley, Southern New Hampshire y New England son contexto previsto, no cobertura confirmada para publicar. Incluye solo hechos aprobados o una consulta honesta; no muestres un mapa mundial ficticio.</w:t>
      </w:r>
    </w:p>
    <w:p>
      <w:r>
        <w:t>Si una sección de preguntas añade utilidad sin alargar innecesariamente Home, usa respuestas verificadas y enlace a ayuda. No respondas cancelación, espera o atención 24/7 con condiciones de Blacklane. Los faltantes comerciales pueden mantenerse fuera de la experiencia pública hasta confirmarlos.</w:t>
      </w:r>
    </w:p>
    <w:p>
      <w:pPr>
        <w:pStyle w:val="Heading2"/>
      </w:pPr>
      <w:r>
        <w:t>H08. Cierre y footer</w:t>
      </w:r>
    </w:p>
    <w:p>
      <w:r>
        <w:t xml:space="preserve">Acción principal única para iniciar solicitud, más acceso útil a soporte. Footer marino, marca legible, secciones de exploración, viaje y contacto, y enlaces reales a los avisos vigentes. No teléfonos, direcciones ni horarios inventados. No enlaces </w:t>
      </w:r>
      <w:r>
        <w:rPr>
          <w:rFonts w:ascii="Liberation Mono" w:hAnsi="Liberation Mono"/>
          <w:color w:val="001030"/>
          <w:sz w:val="18"/>
        </w:rPr>
        <w:t>#</w:t>
      </w:r>
      <w:r>
        <w:t xml:space="preserve"> que parezcan funcionales.</w:t>
      </w:r>
    </w:p>
    <w:p>
      <w:r>
        <w:t>No repitas el descriptor y ambos slogans en todos los componentes. Conserva una jerarquía discreta y vínculos accesibles. Si privacidad/términos son avisos de desarrollo, indícalo honestamente en el entorno de revisión; no los presentes como políticas comerciales aprobadas.</w:t>
      </w:r>
    </w:p>
    <w:p>
      <w:pPr>
        <w:pStyle w:val="Heading1"/>
      </w:pPr>
      <w:r>
        <w:t>12. Movimiento: comportamiento, límites y pruebas</w:t>
      </w:r>
    </w:p>
    <w:p>
      <w:pPr>
        <w:pStyle w:val="Heading2"/>
      </w:pPr>
      <w:r>
        <w:t>12.1 Reutilizar antes de añadir un motor</w:t>
      </w:r>
    </w:p>
    <w:p>
      <w:r>
        <w:t xml:space="preserve">Revisa </w:t>
      </w:r>
      <w:r>
        <w:rPr>
          <w:rFonts w:ascii="Liberation Mono" w:hAnsi="Liberation Mono"/>
          <w:color w:val="001030"/>
          <w:sz w:val="18"/>
        </w:rPr>
        <w:t>reveal.tsx</w:t>
      </w:r>
      <w:r>
        <w:t xml:space="preserve">, </w:t>
      </w:r>
      <w:r>
        <w:rPr>
          <w:rFonts w:ascii="Liberation Mono" w:hAnsi="Liberation Mono"/>
          <w:color w:val="001030"/>
          <w:sz w:val="18"/>
        </w:rPr>
        <w:t>home-scroll-motion.tsx</w:t>
      </w:r>
      <w:r>
        <w:t xml:space="preserve">, </w:t>
      </w:r>
      <w:r>
        <w:rPr>
          <w:rFonts w:ascii="Liberation Mono" w:hAnsi="Liberation Mono"/>
          <w:color w:val="001030"/>
          <w:sz w:val="18"/>
        </w:rPr>
        <w:t>home-experience.tsx</w:t>
      </w:r>
      <w:r>
        <w:t xml:space="preserve">, </w:t>
      </w:r>
      <w:r>
        <w:rPr>
          <w:rFonts w:ascii="Liberation Mono" w:hAnsi="Liberation Mono"/>
          <w:color w:val="001030"/>
          <w:sz w:val="18"/>
        </w:rPr>
        <w:t>page-transition.tsx</w:t>
      </w:r>
      <w:r>
        <w:t>, Embla y las reglas correspondientes. Conserva la desaceleración útil y limpia listeners/observers al desmontar. No añadas GSAP o Framer Motion automáticamente ni dos controladores para el mismo scroll. La existencia de un efecto no justifica aplicarlo a todos los títulos. [D02 parte III §08]</w:t>
      </w:r>
    </w:p>
    <w:p>
      <w:pPr>
        <w:pStyle w:val="Heading2"/>
      </w:pPr>
      <w:r>
        <w:t>12.2 Título reversible</w:t>
      </w:r>
    </w:p>
    <w:p>
      <w:r>
        <w:t xml:space="preserve">Responsabilidad sugerida: </w:t>
      </w:r>
      <w:r>
        <w:rPr>
          <w:rFonts w:ascii="Liberation Mono" w:hAnsi="Liberation Mono"/>
          <w:color w:val="001030"/>
          <w:sz w:val="18"/>
        </w:rPr>
        <w:t>ScrollStatement</w:t>
      </w:r>
      <w:r>
        <w:t xml:space="preserve"> o equivalente. Calcula un progreso local normalizado de la sección, acotado entre 0 y 1. Usa ese mismo valor para </w:t>
      </w:r>
      <w:r>
        <w:rPr>
          <w:rFonts w:ascii="Liberation Mono" w:hAnsi="Liberation Mono"/>
          <w:color w:val="001030"/>
          <w:sz w:val="18"/>
        </w:rPr>
        <w:t>transform: scale(...)</w:t>
      </w:r>
      <w:r>
        <w:t>, una traslación vertical discreta y opacidad. Al retroceder el scroll, recupera exactamente el estado correspondiente; no dispares otra animación temporizada independiente.</w:t>
      </w:r>
    </w:p>
    <w:p>
      <w:r>
        <w:t xml:space="preserve">El rango 1 → 0.78–0.84 y opacidad 1 → 0 está documentado como ensayo, no como medida de Blacklane. La referencia concreta puede orientar el valor inicial; calibra en el navegador nativo y registra el resultado. No cambies continuamente </w:t>
      </w:r>
      <w:r>
        <w:rPr>
          <w:rFonts w:ascii="Liberation Mono" w:hAnsi="Liberation Mono"/>
          <w:color w:val="001030"/>
          <w:sz w:val="18"/>
        </w:rPr>
        <w:t>font-size</w:t>
      </w:r>
      <w:r>
        <w:t>, márgenes o altura para producir el efecto. El bloque mantiene su lugar en el layout.</w:t>
      </w:r>
    </w:p>
    <w:p>
      <w:r>
        <w:t>Prueba inicio, mitad y salida en ambos sentidos, desplazamiento rápido, resize, regreso por ancla, recarga a mitad de página y texto ampliado. El foco de un elemento interactivo no debe quedar dentro de contenido invisible. No ocultes información necesaria para reservar ni utilices scroll-jacking.</w:t>
      </w:r>
    </w:p>
    <w:p>
      <w:pPr>
        <w:pStyle w:val="Heading2"/>
      </w:pPr>
      <w:r>
        <w:t>12.3 Entradas laterales, imágenes y delays</w:t>
      </w:r>
    </w:p>
    <w:p>
      <w:r>
        <w:t>D02 observó ±68 px en el código y documentó ±70 px, 850–1100 ms y un desfase de 110 ms como referencias exploratorias. No son parámetros obligatorios para todas las pantallas. Reduce distancia en móvil; termina alineado y sin rebote. Asegura que no aparezca overflow horizontal.</w:t>
      </w:r>
    </w:p>
    <w:p>
      <w:r>
        <w:t>Una entrada lateral temporizada y un título continuo ligado al scroll son comportamientos diferentes. La repetición de fotografías al reentrar no quedó aprobada universalmente. Conserva por defecto la entrada única de elementos secundarios o el comportamiento concreto válido del candidato, documentando la decisión. No conviertas todos los reveals a repetición.</w:t>
      </w:r>
    </w:p>
    <w:p>
      <w:r>
        <w:t xml:space="preserve">Si una transición pertenece a un hijo y el delay se aplica al contenedor, propaga una variable explícita; no supongas herencia de </w:t>
      </w:r>
      <w:r>
        <w:rPr>
          <w:rFonts w:ascii="Liberation Mono" w:hAnsi="Liberation Mono"/>
          <w:color w:val="001030"/>
          <w:sz w:val="18"/>
        </w:rPr>
        <w:t>transition-delay</w:t>
      </w:r>
      <w:r>
        <w:t>. Las máscaras de texto/media deben respetar foco, tamaño y movimiento reducido.</w:t>
      </w:r>
    </w:p>
    <w:p>
      <w:pPr>
        <w:pStyle w:val="Heading2"/>
      </w:pPr>
      <w:r>
        <w:t>12.4 Visibilidad y movimiento reducido</w:t>
      </w:r>
    </w:p>
    <w:p>
      <w:r>
        <w:t>El contenido base debe ser visible antes de JavaScript. Activa mejoras de movimiento cuando el controlador esté listo, no al revés. Si falla hidratación, no debe quedar una página con secciones permanentemente transparentes.</w:t>
      </w:r>
    </w:p>
    <w:p>
      <w:r>
        <w:t xml:space="preserve">Con </w:t>
      </w:r>
      <w:r>
        <w:rPr>
          <w:rFonts w:ascii="Liberation Mono" w:hAnsi="Liberation Mono"/>
          <w:color w:val="001030"/>
          <w:sz w:val="18"/>
        </w:rPr>
        <w:t>prefers-reduced-motion</w:t>
      </w:r>
      <w:r>
        <w:t>, elimina traslaciones decorativas y desaparición ligada al scroll; mantiene toda la información y los controles. Atiende cambios de preferencia durante la sesión. No simules compatibilidad reduciendo una duración a 1 ms mientras el título sigue desapareciendo. No uses animaciones de carga como barrera para abrir el formulario.</w:t>
      </w:r>
    </w:p>
    <w:p>
      <w:pPr>
        <w:pStyle w:val="Heading1"/>
      </w:pPr>
      <w:r>
        <w:t>13. Biblioteca de componentes y estados de interfaz</w:t>
      </w:r>
    </w:p>
    <w:p>
      <w:r>
        <w:t>Reutiliza los componentes existentes o adáptalos sin duplicación. El inventario mínimo comprende marca, header, footer, selector de idioma, botones/enlaces, campos, selector de modalidad, calendario/hora/duración, tarjetas de servicio/categoría, stepper, resumen, alertas, toast, modal/dialog, acordeón, estados vacíos, skeleton y armazón de cuenta.</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Familia</w:t>
            </w:r>
          </w:p>
        </w:tc>
        <w:tc>
          <w:tcPr>
            <w:tcW w:type="dxa" w:w="7229"/>
            <w:vAlign w:val="center"/>
            <w:shd w:fill="001030"/>
          </w:tcPr>
          <w:p>
            <w:pPr>
              <w:pStyle w:val="TableBody"/>
            </w:pPr>
            <w:r>
              <w:rPr>
                <w:b/>
                <w:color w:val="FFFFFF"/>
                <w:sz w:val="18"/>
              </w:rPr>
              <w:t>Requisito de diseño y comportamiento</w:t>
            </w:r>
          </w:p>
        </w:tc>
      </w:tr>
      <w:tr>
        <w:trPr>
          <w:cantSplit/>
        </w:trPr>
        <w:tc>
          <w:tcPr>
            <w:tcW w:type="dxa" w:w="2880"/>
            <w:vAlign w:val="center"/>
            <w:shd w:fill="F7F9FD"/>
          </w:tcPr>
          <w:p>
            <w:pPr>
              <w:pStyle w:val="TableBody"/>
            </w:pPr>
            <w:r>
              <w:rPr>
                <w:sz w:val="18"/>
              </w:rPr>
              <w:t>Botón primario</w:t>
            </w:r>
          </w:p>
        </w:tc>
        <w:tc>
          <w:tcPr>
            <w:tcW w:type="dxa" w:w="7229"/>
            <w:vAlign w:val="center"/>
            <w:shd w:fill="F7F9FD"/>
          </w:tcPr>
          <w:p>
            <w:pPr>
              <w:pStyle w:val="TableBody"/>
            </w:pPr>
            <w:r>
              <w:rPr>
                <w:sz w:val="18"/>
              </w:rPr>
              <w:t>Prioridad clara; hover, foco, pulsado, disabled y loading; spinner y texto sin salto de ancho. El estado disabled explica qué falta cuando es necesario.</w:t>
            </w:r>
          </w:p>
        </w:tc>
      </w:tr>
      <w:tr>
        <w:trPr>
          <w:cantSplit/>
        </w:trPr>
        <w:tc>
          <w:tcPr>
            <w:tcW w:type="dxa" w:w="2880"/>
            <w:vAlign w:val="center"/>
            <w:shd w:fill="FFFFFF"/>
          </w:tcPr>
          <w:p>
            <w:pPr>
              <w:pStyle w:val="TableBody"/>
            </w:pPr>
            <w:r>
              <w:rPr>
                <w:sz w:val="18"/>
              </w:rPr>
              <w:t>Enlace/acción secundaria</w:t>
            </w:r>
          </w:p>
        </w:tc>
        <w:tc>
          <w:tcPr>
            <w:tcW w:type="dxa" w:w="7229"/>
            <w:vAlign w:val="center"/>
            <w:shd w:fill="FFFFFF"/>
          </w:tcPr>
          <w:p>
            <w:pPr>
              <w:pStyle w:val="TableBody"/>
            </w:pPr>
            <w:r>
              <w:rPr>
                <w:sz w:val="18"/>
              </w:rPr>
              <w:t>Diferenciar navegación de una mutación. Una flecha ornamental no sustituye un nombre accesible.</w:t>
            </w:r>
          </w:p>
        </w:tc>
      </w:tr>
      <w:tr>
        <w:trPr>
          <w:cantSplit/>
        </w:trPr>
        <w:tc>
          <w:tcPr>
            <w:tcW w:type="dxa" w:w="2880"/>
            <w:vAlign w:val="center"/>
            <w:shd w:fill="F7F9FD"/>
          </w:tcPr>
          <w:p>
            <w:pPr>
              <w:pStyle w:val="TableBody"/>
            </w:pPr>
            <w:r>
              <w:rPr>
                <w:sz w:val="18"/>
              </w:rPr>
              <w:t>Campo</w:t>
            </w:r>
          </w:p>
        </w:tc>
        <w:tc>
          <w:tcPr>
            <w:tcW w:type="dxa" w:w="7229"/>
            <w:vAlign w:val="center"/>
            <w:shd w:fill="F7F9FD"/>
          </w:tcPr>
          <w:p>
            <w:pPr>
              <w:pStyle w:val="TableBody"/>
            </w:pPr>
            <w:r>
              <w:rPr>
                <w:sz w:val="18"/>
              </w:rPr>
              <w:t>Label permanente, ayuda breve, valor editable, error asociado y autocompletado pertinente. Nunca placeholder como única etiqueta.</w:t>
            </w:r>
          </w:p>
        </w:tc>
      </w:tr>
      <w:tr>
        <w:trPr>
          <w:cantSplit/>
        </w:trPr>
        <w:tc>
          <w:tcPr>
            <w:tcW w:type="dxa" w:w="2880"/>
            <w:vAlign w:val="center"/>
            <w:shd w:fill="FFFFFF"/>
          </w:tcPr>
          <w:p>
            <w:pPr>
              <w:pStyle w:val="TableBody"/>
            </w:pPr>
            <w:r>
              <w:rPr>
                <w:sz w:val="18"/>
              </w:rPr>
              <w:t>Select y combobox</w:t>
            </w:r>
          </w:p>
        </w:tc>
        <w:tc>
          <w:tcPr>
            <w:tcW w:type="dxa" w:w="7229"/>
            <w:vAlign w:val="center"/>
            <w:shd w:fill="FFFFFF"/>
          </w:tcPr>
          <w:p>
            <w:pPr>
              <w:pStyle w:val="TableBody"/>
            </w:pPr>
            <w:r>
              <w:rPr>
                <w:sz w:val="18"/>
              </w:rPr>
              <w:t>Valor seleccionado reconocible, teclado, vacío/carga/error y lista sin quedar detrás de otra capa. No confundir texto libre con ubicación resuelta.</w:t>
            </w:r>
          </w:p>
        </w:tc>
      </w:tr>
      <w:tr>
        <w:trPr>
          <w:cantSplit/>
        </w:trPr>
        <w:tc>
          <w:tcPr>
            <w:tcW w:type="dxa" w:w="2880"/>
            <w:vAlign w:val="center"/>
            <w:shd w:fill="F7F9FD"/>
          </w:tcPr>
          <w:p>
            <w:pPr>
              <w:pStyle w:val="TableBody"/>
            </w:pPr>
            <w:r>
              <w:rPr>
                <w:sz w:val="18"/>
              </w:rPr>
              <w:t>Selección de categoría</w:t>
            </w:r>
          </w:p>
        </w:tc>
        <w:tc>
          <w:tcPr>
            <w:tcW w:type="dxa" w:w="7229"/>
            <w:vAlign w:val="center"/>
            <w:shd w:fill="F7F9FD"/>
          </w:tcPr>
          <w:p>
            <w:pPr>
              <w:pStyle w:val="TableBody"/>
            </w:pPr>
            <w:r>
              <w:rPr>
                <w:sz w:val="18"/>
              </w:rPr>
              <w:t>Estado comunicado semánticamente, no solo mediante borde de color. Datos de capacidad visibles cuando sean válidos.</w:t>
            </w:r>
          </w:p>
        </w:tc>
      </w:tr>
      <w:tr>
        <w:trPr>
          <w:cantSplit/>
        </w:trPr>
        <w:tc>
          <w:tcPr>
            <w:tcW w:type="dxa" w:w="2880"/>
            <w:vAlign w:val="center"/>
            <w:shd w:fill="FFFFFF"/>
          </w:tcPr>
          <w:p>
            <w:pPr>
              <w:pStyle w:val="TableBody"/>
            </w:pPr>
            <w:r>
              <w:rPr>
                <w:sz w:val="18"/>
              </w:rPr>
              <w:t>Modal o confirmación</w:t>
            </w:r>
          </w:p>
        </w:tc>
        <w:tc>
          <w:tcPr>
            <w:tcW w:type="dxa" w:w="7229"/>
            <w:vAlign w:val="center"/>
            <w:shd w:fill="FFFFFF"/>
          </w:tcPr>
          <w:p>
            <w:pPr>
              <w:pStyle w:val="TableBody"/>
            </w:pPr>
            <w:r>
              <w:rPr>
                <w:sz w:val="18"/>
              </w:rPr>
              <w:t>Título, foco inicial, Escape cuando sea reversible, cierre y retorno al disparador. Acciones destructivas diferenciadas.</w:t>
            </w:r>
          </w:p>
        </w:tc>
      </w:tr>
      <w:tr>
        <w:trPr>
          <w:cantSplit/>
        </w:trPr>
        <w:tc>
          <w:tcPr>
            <w:tcW w:type="dxa" w:w="2880"/>
            <w:vAlign w:val="center"/>
            <w:shd w:fill="F7F9FD"/>
          </w:tcPr>
          <w:p>
            <w:pPr>
              <w:pStyle w:val="TableBody"/>
            </w:pPr>
            <w:r>
              <w:rPr>
                <w:sz w:val="18"/>
              </w:rPr>
              <w:t>Alertas</w:t>
            </w:r>
          </w:p>
        </w:tc>
        <w:tc>
          <w:tcPr>
            <w:tcW w:type="dxa" w:w="7229"/>
            <w:vAlign w:val="center"/>
            <w:shd w:fill="F7F9FD"/>
          </w:tcPr>
          <w:p>
            <w:pPr>
              <w:pStyle w:val="TableBody"/>
            </w:pPr>
            <w:r>
              <w:rPr>
                <w:sz w:val="18"/>
              </w:rPr>
              <w:t>Error, información, éxito y pendiente con texto e icono. Un color aislado no comunica el significado.</w:t>
            </w:r>
          </w:p>
        </w:tc>
      </w:tr>
      <w:tr>
        <w:trPr>
          <w:cantSplit/>
        </w:trPr>
        <w:tc>
          <w:tcPr>
            <w:tcW w:type="dxa" w:w="2880"/>
            <w:vAlign w:val="center"/>
            <w:shd w:fill="FFFFFF"/>
          </w:tcPr>
          <w:p>
            <w:pPr>
              <w:pStyle w:val="TableBody"/>
            </w:pPr>
            <w:r>
              <w:rPr>
                <w:sz w:val="18"/>
              </w:rPr>
              <w:t>Toast</w:t>
            </w:r>
          </w:p>
        </w:tc>
        <w:tc>
          <w:tcPr>
            <w:tcW w:type="dxa" w:w="7229"/>
            <w:vAlign w:val="center"/>
            <w:shd w:fill="FFFFFF"/>
          </w:tcPr>
          <w:p>
            <w:pPr>
              <w:pStyle w:val="TableBody"/>
            </w:pPr>
            <w:r>
              <w:rPr>
                <w:sz w:val="18"/>
              </w:rPr>
              <w:t>Complementa, no reemplaza, información persistente de un envío o error. No importa la posición/animación de CHARIS. Sigue el lenguaje de ASCENTA y no cubre controles móviles.</w:t>
            </w:r>
          </w:p>
        </w:tc>
      </w:tr>
      <w:tr>
        <w:trPr>
          <w:cantSplit/>
        </w:trPr>
        <w:tc>
          <w:tcPr>
            <w:tcW w:type="dxa" w:w="2880"/>
            <w:vAlign w:val="center"/>
            <w:shd w:fill="F7F9FD"/>
          </w:tcPr>
          <w:p>
            <w:pPr>
              <w:pStyle w:val="TableBody"/>
            </w:pPr>
            <w:r>
              <w:rPr>
                <w:sz w:val="18"/>
              </w:rPr>
              <w:t>Loading y vacío</w:t>
            </w:r>
          </w:p>
        </w:tc>
        <w:tc>
          <w:tcPr>
            <w:tcW w:type="dxa" w:w="7229"/>
            <w:vAlign w:val="center"/>
            <w:shd w:fill="F7F9FD"/>
          </w:tcPr>
          <w:p>
            <w:pPr>
              <w:pStyle w:val="TableBody"/>
            </w:pPr>
            <w:r>
              <w:rPr>
                <w:sz w:val="18"/>
              </w:rPr>
              <w:t>Distinguir “consultando”, “no hay registros” y “no pudimos cargar”. No mostrar ceros o datos de ejemplo como resultado de un fallo.</w:t>
            </w:r>
          </w:p>
        </w:tc>
      </w:tr>
      <w:tr>
        <w:trPr>
          <w:cantSplit/>
        </w:trPr>
        <w:tc>
          <w:tcPr>
            <w:tcW w:type="dxa" w:w="2880"/>
            <w:vAlign w:val="center"/>
            <w:shd w:fill="FFFFFF"/>
          </w:tcPr>
          <w:p>
            <w:pPr>
              <w:pStyle w:val="TableBody"/>
            </w:pPr>
            <w:r>
              <w:rPr>
                <w:sz w:val="18"/>
              </w:rPr>
              <w:t>Tablas y tarjetas</w:t>
            </w:r>
          </w:p>
        </w:tc>
        <w:tc>
          <w:tcPr>
            <w:tcW w:type="dxa" w:w="7229"/>
            <w:vAlign w:val="center"/>
            <w:shd w:fill="FFFFFF"/>
          </w:tcPr>
          <w:p>
            <w:pPr>
              <w:pStyle w:val="TableBody"/>
            </w:pPr>
            <w:r>
              <w:rPr>
                <w:sz w:val="18"/>
              </w:rPr>
              <w:t>Jerarquía y acciones reales; adaptación móvil sin ocultar datos críticos. Filtros controlan de verdad el conjunto mostrado.</w:t>
            </w:r>
          </w:p>
        </w:tc>
      </w:tr>
    </w:tbl>
    <w:p>
      <w:pPr>
        <w:spacing w:after="40"/>
      </w:pPr>
    </w:p>
    <w:p>
      <w:r>
        <w:t>Si un aviso desaparece por tiempo, respeta interacción y lectura; los errores de formulario y la referencia de una solicitud no dependen de que se alcance a leer un toast. No reinicies el formulario tras un fallo. Al enviar con errores, enfoca el primero y presenta un resumen si hay varios.</w:t>
      </w:r>
    </w:p>
    <w:p>
      <w:r>
        <w:t>Define z-index y capas para header, menús, listas, dialog, alertas y banners de revisión. El aviso local de la captura móvil cubre parte del texto inferior: no reproduzcas esa superposición en la aplicación nativa. Ajusta safe areas cuando corresponda.</w:t>
      </w:r>
    </w:p>
    <w:p>
      <w:pPr>
        <w:pStyle w:val="Heading1"/>
      </w:pPr>
      <w:r>
        <w:t>14. Páginas públicas complementarias</w:t>
      </w:r>
    </w:p>
    <w:p>
      <w:pPr>
        <w:pStyle w:val="Heading2"/>
      </w:pPr>
      <w:r>
        <w:t>14.1 Servicios</w:t>
      </w:r>
    </w:p>
    <w:p>
      <w:r>
        <w:t xml:space="preserve">Conserva </w:t>
      </w:r>
      <w:r>
        <w:rPr>
          <w:rFonts w:ascii="Liberation Mono" w:hAnsi="Liberation Mono"/>
          <w:color w:val="001030"/>
          <w:sz w:val="18"/>
        </w:rPr>
        <w:t>/services</w:t>
      </w:r>
      <w:r>
        <w:t>; relaciona cada servicio comercial con modo de viaje o consulta. El original mostraba ocho tarjetas, Home cinco y el contrato cinco tipos: no son la misma taxonomía. Crea una relación explícita en una sola fuente de contenido/catálogo en lugar de tres listas incoherentes.</w:t>
      </w:r>
    </w:p>
    <w:p>
      <w:r>
        <w:t>Aeropuerto, por horas y entre ciudades pueden iniciar el viaje con contexto; FBO, roadshow, evento o grupo complejo pueden abrir una consulta especializada cuando su operación lo requiera. La presencia de una tarjeta no autoriza ofrecer el servicio. No agregues todas las líneas futuras como reservables sin configuración.</w:t>
      </w:r>
    </w:p>
    <w:p>
      <w:r>
        <w:t>Cada página/detalle real utiliza propósito, fotografía, explicación, condiciones aplicables, CTA y ayuda. No fabriques páginas vacías para una arquitectura extensa. Los CTA preservan datos ya introducidos y no borran un borrador con envío incierto.</w:t>
      </w:r>
    </w:p>
    <w:p>
      <w:pPr>
        <w:pStyle w:val="Heading2"/>
      </w:pPr>
      <w:r>
        <w:t>14.2 Vehículos</w:t>
      </w:r>
    </w:p>
    <w:p>
      <w:r>
        <w:t xml:space="preserve">Conserva </w:t>
      </w:r>
      <w:r>
        <w:rPr>
          <w:rFonts w:ascii="Liberation Mono" w:hAnsi="Liberation Mono"/>
          <w:color w:val="001030"/>
          <w:sz w:val="18"/>
        </w:rPr>
        <w:t>/fleet</w:t>
      </w:r>
      <w:r>
        <w:t xml:space="preserve"> y los códigos heredados hasta definir equivalencias. Usa nombre comercial validado, capacidad, equipaje e imagen real o ilustración identificada. Un van de carga no puede presentarse como transporte ejecutivo de pasajeros por la apariencia de su URL. No muestres marca/modelo exactos como garantizados si solo se solicita una categoría.</w:t>
      </w:r>
    </w:p>
    <w:p>
      <w:r>
        <w:t>Al elegir una categoría incompatible, explica la restricción y ofrece una alternativa real de consulta, sin prometer otro vehículo inexistente. Cambiar pasajeros o equipaje revalida la categoría; el servidor repite la validación.</w:t>
      </w:r>
    </w:p>
    <w:p>
      <w:pPr>
        <w:pStyle w:val="Heading2"/>
      </w:pPr>
      <w:r>
        <w:t>14.3 Empresas</w:t>
      </w:r>
    </w:p>
    <w:p>
      <w:r>
        <w:rPr>
          <w:rFonts w:ascii="Liberation Mono" w:hAnsi="Liberation Mono"/>
          <w:color w:val="001030"/>
          <w:sz w:val="18"/>
        </w:rPr>
        <w:t>/business</w:t>
      </w:r>
      <w:r>
        <w:t xml:space="preserve"> es público. Explica la utilidad para viajero, asistente y coordinador; separa consulta de solicitud de cuenta. Formulario mínimo: empresa, contacto, correo de trabajo, necesidad y teléfono cuando haga falta; volumen estimado opcional. No habilites crédito, facturación mensual o roles corporativos por escribir un dominio empresarial.</w:t>
      </w:r>
    </w:p>
    <w:p>
      <w:r>
        <w:t>Tras enviar, mostrar referencia solo después de persistencia; definir recepción interna. Si se requiere revisión de cuenta, explicar el estado. No trasplantar el flujo de verificación institucional de CHARIS.</w:t>
      </w:r>
    </w:p>
    <w:p>
      <w:pPr>
        <w:pStyle w:val="Heading2"/>
      </w:pPr>
      <w:r>
        <w:t>14.4 Contacto, ayuda y avisos</w:t>
      </w:r>
    </w:p>
    <w:p>
      <w:r>
        <w:t>Contacto: nombre, correo, tema y mensaje; teléfono opcional salvo devolución de llamada. Ayuda: cómo enviar solicitud, saber si está confirmada, reservar para otro, modificar datos, equipaje, horas y asistencia. Respuestas de espera, cancelación, cobro y cobertura solo proceden de reglas aprobadas.</w:t>
      </w:r>
    </w:p>
    <w:p>
      <w:r>
        <w:t>Privacidad y términos no se redactan copiando Blacklane ni prometiendo cumplimiento por instalar un banner. En revisión puede haber un aviso provisional claramente identificado; antes de lanzamiento deben existir entidad, proveedores, finalidades y políticas correctos. No actives analítica o marketing por defecto solo porque haya una aceptación de registro.</w:t>
      </w:r>
    </w:p>
    <w:p>
      <w:pPr>
        <w:pStyle w:val="Heading1"/>
      </w:pPr>
      <w:r>
        <w:t>15. Viaje: modelo y cuatro pasos funcionales</w:t>
      </w:r>
    </w:p>
    <w:p>
      <w:r>
        <w:rPr>
          <w:b/>
        </w:rPr>
        <w:t>Fuentes:</w:t>
      </w:r>
      <w:r>
        <w:t xml:space="preserve"> D02 parte III §09–11; D03 §15–21; C03 </w:t>
      </w:r>
      <w:r>
        <w:rPr>
          <w:rFonts w:ascii="Liberation Mono" w:hAnsi="Liberation Mono"/>
          <w:color w:val="001030"/>
          <w:sz w:val="18"/>
        </w:rPr>
        <w:t>booking.tsx</w:t>
      </w:r>
      <w:r>
        <w:t xml:space="preserve"> y contratos del paquete. Los siguientes pasos organizan decisiones, no pantallas vacías.</w:t>
      </w:r>
    </w:p>
    <w:p>
      <w:pPr>
        <w:keepNext/>
        <w:spacing w:before="100" w:after="60"/>
        <w:jc w:val="center"/>
      </w:pPr>
      <w:r>
        <w:drawing>
          <wp:inline xmlns:a="http://schemas.openxmlformats.org/drawingml/2006/main" xmlns:pic="http://schemas.openxmlformats.org/drawingml/2006/picture">
            <wp:extent cx="4046035" cy="5212080"/>
            <wp:docPr id="9" name="Picture 9" descr="V10. Referencia de organización del asistente de viaje. Los datos de ejemplo no se publican como reservas reales." title="ASCENTA-Booking.png"/>
            <wp:cNvGraphicFramePr>
              <a:graphicFrameLocks noChangeAspect="1"/>
            </wp:cNvGraphicFramePr>
            <a:graphic>
              <a:graphicData uri="http://schemas.openxmlformats.org/drawingml/2006/picture">
                <pic:pic>
                  <pic:nvPicPr>
                    <pic:cNvPr id="0" name="ASCENTA-Booking.png"/>
                    <pic:cNvPicPr/>
                  </pic:nvPicPr>
                  <pic:blipFill>
                    <a:blip r:embed="rId19"/>
                    <a:stretch>
                      <a:fillRect/>
                    </a:stretch>
                  </pic:blipFill>
                  <pic:spPr>
                    <a:xfrm>
                      <a:off x="0" y="0"/>
                      <a:ext cx="4046035" cy="5212080"/>
                    </a:xfrm>
                    <a:prstGeom prst="rect"/>
                  </pic:spPr>
                </pic:pic>
              </a:graphicData>
            </a:graphic>
          </wp:inline>
        </w:drawing>
      </w:r>
    </w:p>
    <w:p>
      <w:pPr>
        <w:pStyle w:val="Caption"/>
        <w:keepLines/>
      </w:pPr>
      <w:r>
        <w:t>V10. Referencia de organización del asistente de viaje. Los datos de ejemplo no se publican como reservas reales.</w:t>
      </w:r>
    </w:p>
    <w:p>
      <w:pPr>
        <w:pStyle w:val="Heading2"/>
      </w:pPr>
      <w:r>
        <w:t>Paso 1 — Datos del viaje</w:t>
      </w:r>
    </w:p>
    <w:p>
      <w:r>
        <w:t xml:space="preserve">Recibe sin pérdida lo capturado en Home. Permite editar modalidad, origen, destino/duración, fecha, hora y zona; pasajeros/equipaje cuando hagan falta para categoría; datos de vuelo, regreso o coordinación solo si corresponden al servicio. Nada operativo debe quedar </w:t>
      </w:r>
      <w:r>
        <w:rPr>
          <w:rFonts w:ascii="Liberation Mono" w:hAnsi="Liberation Mono"/>
          <w:color w:val="001030"/>
          <w:sz w:val="18"/>
        </w:rPr>
        <w:t>readOnly</w:t>
      </w:r>
      <w:r>
        <w:t xml:space="preserve"> por falta de </w:t>
      </w:r>
      <w:r>
        <w:rPr>
          <w:rFonts w:ascii="Liberation Mono" w:hAnsi="Liberation Mono"/>
          <w:color w:val="001030"/>
          <w:sz w:val="18"/>
        </w:rPr>
        <w:t>onChange</w:t>
      </w:r>
      <w:r>
        <w:t>.</w:t>
      </w:r>
    </w:p>
    <w:p>
      <w:pPr>
        <w:pStyle w:val="Heading2"/>
      </w:pPr>
      <w:r>
        <w:t>Paso 2 — Preferencia o categoría compatible</w:t>
      </w:r>
    </w:p>
    <w:p>
      <w:r>
        <w:t>Carga catálogo real del entorno. Muestra selección y capacidad verificada cuando exista. No presente precio, disponibilidad instantánea ni opción “garantizada” si solo es preferencia. Un error de catálogo tiene reintento/consulta, no un reemplazo silencioso por fixtures.</w:t>
      </w:r>
    </w:p>
    <w:p>
      <w:pPr>
        <w:pStyle w:val="Heading2"/>
      </w:pPr>
      <w:r>
        <w:t>Paso 3 — Pasajero y contacto</w:t>
      </w:r>
    </w:p>
    <w:p>
      <w:r>
        <w:t>Distingue quien tiene la cuenta de quien viaja. Ofrece “viajo yo” y “otra persona” con autofill razonable, pero editar al pasajero no cambia el perfil del solicitante. Recoge nombre y contacto operativo necesario; la empresa y referencia de facturación solo cuando corresponda. No recolectes fecha de nacimiento, documento de identidad, domicilio privado o diagnósticos por defecto.</w:t>
      </w:r>
    </w:p>
    <w:p>
      <w:pPr>
        <w:pStyle w:val="Heading2"/>
      </w:pPr>
      <w:r>
        <w:t>Paso 4 — Revisión y envío</w:t>
      </w:r>
    </w:p>
    <w:p>
      <w:r>
        <w:t>Resumen de itinerario, fecha/hora/zona, modalidad, categoría preferida, pasajeros/equipaje, datos de vuelo/regreso, contacto y notas. Enlaces de edición vuelven a la sección correcta sin borrar datos. Muestra condiciones aplicables y estado esperado. El CTA dice enviar solicitud cuando eso es lo que realmente ocurre.</w:t>
      </w:r>
    </w:p>
    <w:p>
      <w:r>
        <w:t>Al completar, espera respuesta validada del servidor y muestra referencia pública, resumen y próximo paso. El mismo registro aparece en la cuenta autorizada y en recepción operativa. No muestres “pagado”, “conductor asignado” o “confirmado” al guardar una solicitud.</w:t>
      </w:r>
    </w:p>
    <w:p>
      <w:pPr>
        <w:pStyle w:val="Heading2"/>
      </w:pPr>
      <w:r>
        <w:t>15.1 Contratos y campos</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880"/>
        <w:gridCol w:w="7229"/>
      </w:tblGrid>
      <w:tr>
        <w:trPr>
          <w:cantSplit/>
          <w:tblHeader/>
        </w:trPr>
        <w:tc>
          <w:tcPr>
            <w:tcW w:type="dxa" w:w="2880"/>
            <w:vAlign w:val="center"/>
            <w:shd w:fill="001030"/>
          </w:tcPr>
          <w:p>
            <w:pPr>
              <w:pStyle w:val="TableBody"/>
            </w:pPr>
            <w:r>
              <w:rPr>
                <w:b/>
                <w:color w:val="FFFFFF"/>
                <w:sz w:val="18"/>
              </w:rPr>
              <w:t>Dato</w:t>
            </w:r>
          </w:p>
        </w:tc>
        <w:tc>
          <w:tcPr>
            <w:tcW w:type="dxa" w:w="7229"/>
            <w:vAlign w:val="center"/>
            <w:shd w:fill="001030"/>
          </w:tcPr>
          <w:p>
            <w:pPr>
              <w:pStyle w:val="TableBody"/>
            </w:pPr>
            <w:r>
              <w:rPr>
                <w:b/>
                <w:color w:val="FFFFFF"/>
                <w:sz w:val="18"/>
              </w:rPr>
              <w:t>Regla de implementación</w:t>
            </w:r>
          </w:p>
        </w:tc>
      </w:tr>
      <w:tr>
        <w:trPr>
          <w:cantSplit/>
        </w:trPr>
        <w:tc>
          <w:tcPr>
            <w:tcW w:type="dxa" w:w="2880"/>
            <w:vAlign w:val="center"/>
            <w:shd w:fill="F7F9FD"/>
          </w:tcPr>
          <w:p>
            <w:pPr>
              <w:pStyle w:val="TableBody"/>
            </w:pPr>
            <w:r>
              <w:rPr>
                <w:rFonts w:ascii="Liberation Mono" w:hAnsi="Liberation Mono"/>
                <w:color w:val="001030"/>
                <w:sz w:val="18"/>
              </w:rPr>
              <w:t>serviceTypeCode</w:t>
            </w:r>
          </w:p>
        </w:tc>
        <w:tc>
          <w:tcPr>
            <w:tcW w:type="dxa" w:w="7229"/>
            <w:vAlign w:val="center"/>
            <w:shd w:fill="F7F9FD"/>
          </w:tcPr>
          <w:p>
            <w:pPr>
              <w:pStyle w:val="TableBody"/>
            </w:pPr>
            <w:r>
              <w:rPr>
                <w:sz w:val="18"/>
              </w:rPr>
              <w:t>Preserva códigos originales y valida modalidad; no deriva de textos traducidos.</w:t>
            </w:r>
          </w:p>
        </w:tc>
      </w:tr>
      <w:tr>
        <w:trPr>
          <w:cantSplit/>
        </w:trPr>
        <w:tc>
          <w:tcPr>
            <w:tcW w:type="dxa" w:w="2880"/>
            <w:vAlign w:val="center"/>
            <w:shd w:fill="FFFFFF"/>
          </w:tcPr>
          <w:p>
            <w:pPr>
              <w:pStyle w:val="TableBody"/>
            </w:pPr>
            <w:r>
              <w:rPr>
                <w:rFonts w:ascii="Liberation Mono" w:hAnsi="Liberation Mono"/>
                <w:color w:val="001030"/>
                <w:sz w:val="18"/>
              </w:rPr>
              <w:t>vehicleClassCode</w:t>
            </w:r>
          </w:p>
        </w:tc>
        <w:tc>
          <w:tcPr>
            <w:tcW w:type="dxa" w:w="7229"/>
            <w:vAlign w:val="center"/>
            <w:shd w:fill="FFFFFF"/>
          </w:tcPr>
          <w:p>
            <w:pPr>
              <w:pStyle w:val="TableBody"/>
            </w:pPr>
            <w:r>
              <w:rPr>
                <w:sz w:val="18"/>
              </w:rPr>
              <w:t>Selección del catálogo activo; revalidación servidor y compatibilidad real.</w:t>
            </w:r>
          </w:p>
        </w:tc>
      </w:tr>
      <w:tr>
        <w:trPr>
          <w:cantSplit/>
        </w:trPr>
        <w:tc>
          <w:tcPr>
            <w:tcW w:type="dxa" w:w="2880"/>
            <w:vAlign w:val="center"/>
            <w:shd w:fill="F7F9FD"/>
          </w:tcPr>
          <w:p>
            <w:pPr>
              <w:pStyle w:val="TableBody"/>
            </w:pPr>
            <w:r>
              <w:rPr>
                <w:rFonts w:ascii="Liberation Mono" w:hAnsi="Liberation Mono"/>
                <w:color w:val="001030"/>
                <w:sz w:val="18"/>
              </w:rPr>
              <w:t>pickupAddress</w:t>
            </w:r>
          </w:p>
        </w:tc>
        <w:tc>
          <w:tcPr>
            <w:tcW w:type="dxa" w:w="7229"/>
            <w:vAlign w:val="center"/>
            <w:shd w:fill="F7F9FD"/>
          </w:tcPr>
          <w:p>
            <w:pPr>
              <w:pStyle w:val="TableBody"/>
            </w:pPr>
            <w:r>
              <w:rPr>
                <w:sz w:val="18"/>
              </w:rPr>
              <w:t>Campo requerido y editable. El contrato original limita texto a 300 caracteres.</w:t>
            </w:r>
          </w:p>
        </w:tc>
      </w:tr>
      <w:tr>
        <w:trPr>
          <w:cantSplit/>
        </w:trPr>
        <w:tc>
          <w:tcPr>
            <w:tcW w:type="dxa" w:w="2880"/>
            <w:vAlign w:val="center"/>
            <w:shd w:fill="FFFFFF"/>
          </w:tcPr>
          <w:p>
            <w:pPr>
              <w:pStyle w:val="TableBody"/>
            </w:pPr>
            <w:r>
              <w:rPr>
                <w:rFonts w:ascii="Liberation Mono" w:hAnsi="Liberation Mono"/>
                <w:color w:val="001030"/>
                <w:sz w:val="18"/>
              </w:rPr>
              <w:t>destinationAddress</w:t>
            </w:r>
          </w:p>
        </w:tc>
        <w:tc>
          <w:tcPr>
            <w:tcW w:type="dxa" w:w="7229"/>
            <w:vAlign w:val="center"/>
            <w:shd w:fill="FFFFFF"/>
          </w:tcPr>
          <w:p>
            <w:pPr>
              <w:pStyle w:val="TableBody"/>
            </w:pPr>
            <w:r>
              <w:rPr>
                <w:sz w:val="18"/>
              </w:rPr>
              <w:t>Requerido para traslado; no mantenerlo ocultamente obligatorio por horas. Cambiar contrato de forma compatible y explícita.</w:t>
            </w:r>
          </w:p>
        </w:tc>
      </w:tr>
      <w:tr>
        <w:trPr>
          <w:cantSplit/>
        </w:trPr>
        <w:tc>
          <w:tcPr>
            <w:tcW w:type="dxa" w:w="2880"/>
            <w:vAlign w:val="center"/>
            <w:shd w:fill="F7F9FD"/>
          </w:tcPr>
          <w:p>
            <w:pPr>
              <w:pStyle w:val="TableBody"/>
            </w:pPr>
            <w:r>
              <w:rPr>
                <w:sz w:val="18"/>
              </w:rPr>
              <w:t>Fecha/hora local</w:t>
            </w:r>
          </w:p>
        </w:tc>
        <w:tc>
          <w:tcPr>
            <w:tcW w:type="dxa" w:w="7229"/>
            <w:vAlign w:val="center"/>
            <w:shd w:fill="F7F9FD"/>
          </w:tcPr>
          <w:p>
            <w:pPr>
              <w:pStyle w:val="TableBody"/>
            </w:pPr>
            <w:r>
              <w:rPr>
                <w:sz w:val="18"/>
              </w:rPr>
              <w:t>Sin valores fijos de demostración. Resolver instante con zona de recogida.</w:t>
            </w:r>
          </w:p>
        </w:tc>
      </w:tr>
      <w:tr>
        <w:trPr>
          <w:cantSplit/>
        </w:trPr>
        <w:tc>
          <w:tcPr>
            <w:tcW w:type="dxa" w:w="2880"/>
            <w:vAlign w:val="center"/>
            <w:shd w:fill="FFFFFF"/>
          </w:tcPr>
          <w:p>
            <w:pPr>
              <w:pStyle w:val="TableBody"/>
            </w:pPr>
            <w:r>
              <w:rPr>
                <w:rFonts w:ascii="Liberation Mono" w:hAnsi="Liberation Mono"/>
                <w:color w:val="001030"/>
                <w:sz w:val="18"/>
              </w:rPr>
              <w:t>scheduledAt</w:t>
            </w:r>
            <w:r>
              <w:rPr>
                <w:sz w:val="18"/>
              </w:rPr>
              <w:t xml:space="preserve">, </w:t>
            </w:r>
            <w:r>
              <w:rPr>
                <w:rFonts w:ascii="Liberation Mono" w:hAnsi="Liberation Mono"/>
                <w:color w:val="001030"/>
                <w:sz w:val="18"/>
              </w:rPr>
              <w:t>scheduledTimeZone</w:t>
            </w:r>
          </w:p>
        </w:tc>
        <w:tc>
          <w:tcPr>
            <w:tcW w:type="dxa" w:w="7229"/>
            <w:vAlign w:val="center"/>
            <w:shd w:fill="FFFFFF"/>
          </w:tcPr>
          <w:p>
            <w:pPr>
              <w:pStyle w:val="TableBody"/>
            </w:pPr>
            <w:r>
              <w:rPr>
                <w:sz w:val="18"/>
              </w:rPr>
              <w:t>Instante y zona consistentes; no aceptar zona arbitraria o un offset contradictorio.</w:t>
            </w:r>
          </w:p>
        </w:tc>
      </w:tr>
      <w:tr>
        <w:trPr>
          <w:cantSplit/>
        </w:trPr>
        <w:tc>
          <w:tcPr>
            <w:tcW w:type="dxa" w:w="2880"/>
            <w:vAlign w:val="center"/>
            <w:shd w:fill="F7F9FD"/>
          </w:tcPr>
          <w:p>
            <w:pPr>
              <w:pStyle w:val="TableBody"/>
            </w:pPr>
            <w:r>
              <w:rPr>
                <w:sz w:val="18"/>
              </w:rPr>
              <w:t>Pasajeros/equipaje</w:t>
            </w:r>
          </w:p>
        </w:tc>
        <w:tc>
          <w:tcPr>
            <w:tcW w:type="dxa" w:w="7229"/>
            <w:vAlign w:val="center"/>
            <w:shd w:fill="F7F9FD"/>
          </w:tcPr>
          <w:p>
            <w:pPr>
              <w:pStyle w:val="TableBody"/>
            </w:pPr>
            <w:r>
              <w:rPr>
                <w:sz w:val="18"/>
              </w:rPr>
              <w:t>Enteros válidos y límites según datos de catálogo; no inventar capacidad de un vehículo.</w:t>
            </w:r>
          </w:p>
        </w:tc>
      </w:tr>
      <w:tr>
        <w:trPr>
          <w:cantSplit/>
        </w:trPr>
        <w:tc>
          <w:tcPr>
            <w:tcW w:type="dxa" w:w="2880"/>
            <w:vAlign w:val="center"/>
            <w:shd w:fill="FFFFFF"/>
          </w:tcPr>
          <w:p>
            <w:pPr>
              <w:pStyle w:val="TableBody"/>
            </w:pPr>
            <w:r>
              <w:rPr>
                <w:sz w:val="18"/>
              </w:rPr>
              <w:t>Duración</w:t>
            </w:r>
          </w:p>
        </w:tc>
        <w:tc>
          <w:tcPr>
            <w:tcW w:type="dxa" w:w="7229"/>
            <w:vAlign w:val="center"/>
            <w:shd w:fill="FFFFFF"/>
          </w:tcPr>
          <w:p>
            <w:pPr>
              <w:pStyle w:val="TableBody"/>
            </w:pPr>
            <w:r>
              <w:rPr>
                <w:sz w:val="18"/>
              </w:rPr>
              <w:t>Obligatoria por horas; valores comerciales configurables, no mínimos heredados de otros proyectos.</w:t>
            </w:r>
          </w:p>
        </w:tc>
      </w:tr>
      <w:tr>
        <w:trPr>
          <w:cantSplit/>
        </w:trPr>
        <w:tc>
          <w:tcPr>
            <w:tcW w:type="dxa" w:w="2880"/>
            <w:vAlign w:val="center"/>
            <w:shd w:fill="F7F9FD"/>
          </w:tcPr>
          <w:p>
            <w:pPr>
              <w:pStyle w:val="TableBody"/>
            </w:pPr>
            <w:r>
              <w:rPr>
                <w:sz w:val="18"/>
              </w:rPr>
              <w:t>Vuelo/FBO</w:t>
            </w:r>
          </w:p>
        </w:tc>
        <w:tc>
          <w:tcPr>
            <w:tcW w:type="dxa" w:w="7229"/>
            <w:vAlign w:val="center"/>
            <w:shd w:fill="F7F9FD"/>
          </w:tcPr>
          <w:p>
            <w:pPr>
              <w:pStyle w:val="TableBody"/>
            </w:pPr>
            <w:r>
              <w:rPr>
                <w:sz w:val="18"/>
              </w:rPr>
              <w:t>Condicional según tipo; distinguir llegada/salida, aeropuerto, terminal/FBO y coordinación.</w:t>
            </w:r>
          </w:p>
        </w:tc>
      </w:tr>
      <w:tr>
        <w:trPr>
          <w:cantSplit/>
        </w:trPr>
        <w:tc>
          <w:tcPr>
            <w:tcW w:type="dxa" w:w="2880"/>
            <w:vAlign w:val="center"/>
            <w:shd w:fill="FFFFFF"/>
          </w:tcPr>
          <w:p>
            <w:pPr>
              <w:pStyle w:val="TableBody"/>
            </w:pPr>
            <w:r>
              <w:rPr>
                <w:sz w:val="18"/>
              </w:rPr>
              <w:t>Regreso</w:t>
            </w:r>
          </w:p>
        </w:tc>
        <w:tc>
          <w:tcPr>
            <w:tcW w:type="dxa" w:w="7229"/>
            <w:vAlign w:val="center"/>
            <w:shd w:fill="FFFFFF"/>
          </w:tcPr>
          <w:p>
            <w:pPr>
              <w:pStyle w:val="TableBody"/>
            </w:pPr>
            <w:r>
              <w:rPr>
                <w:sz w:val="18"/>
              </w:rPr>
              <w:t>Tramo con fecha/hora y lugares propios, posterior cuando corresponda; no simple booleano decorativo.</w:t>
            </w:r>
          </w:p>
        </w:tc>
      </w:tr>
      <w:tr>
        <w:trPr>
          <w:cantSplit/>
        </w:trPr>
        <w:tc>
          <w:tcPr>
            <w:tcW w:type="dxa" w:w="2880"/>
            <w:vAlign w:val="center"/>
            <w:shd w:fill="F7F9FD"/>
          </w:tcPr>
          <w:p>
            <w:pPr>
              <w:pStyle w:val="TableBody"/>
            </w:pPr>
            <w:r>
              <w:rPr>
                <w:sz w:val="18"/>
              </w:rPr>
              <w:t>Pasajero y solicitante</w:t>
            </w:r>
          </w:p>
        </w:tc>
        <w:tc>
          <w:tcPr>
            <w:tcW w:type="dxa" w:w="7229"/>
            <w:vAlign w:val="center"/>
            <w:shd w:fill="F7F9FD"/>
          </w:tcPr>
          <w:p>
            <w:pPr>
              <w:pStyle w:val="TableBody"/>
            </w:pPr>
            <w:r>
              <w:rPr>
                <w:sz w:val="18"/>
              </w:rPr>
              <w:t>Identidades separadas y contactos con propósito definido.</w:t>
            </w:r>
          </w:p>
        </w:tc>
      </w:tr>
      <w:tr>
        <w:trPr>
          <w:cantSplit/>
        </w:trPr>
        <w:tc>
          <w:tcPr>
            <w:tcW w:type="dxa" w:w="2880"/>
            <w:vAlign w:val="center"/>
            <w:shd w:fill="FFFFFF"/>
          </w:tcPr>
          <w:p>
            <w:pPr>
              <w:pStyle w:val="TableBody"/>
            </w:pPr>
            <w:r>
              <w:rPr>
                <w:sz w:val="18"/>
              </w:rPr>
              <w:t>Notas</w:t>
            </w:r>
          </w:p>
        </w:tc>
        <w:tc>
          <w:tcPr>
            <w:tcW w:type="dxa" w:w="7229"/>
            <w:vAlign w:val="center"/>
            <w:shd w:fill="FFFFFF"/>
          </w:tcPr>
          <w:p>
            <w:pPr>
              <w:pStyle w:val="TableBody"/>
            </w:pPr>
            <w:r>
              <w:rPr>
                <w:sz w:val="18"/>
              </w:rPr>
              <w:t>Límites y saneamiento acordes con el contrato; el original admite hasta 2000 caracteres. No registrar secretos o pagos en texto libre.</w:t>
            </w:r>
          </w:p>
        </w:tc>
      </w:tr>
      <w:tr>
        <w:trPr>
          <w:cantSplit/>
        </w:trPr>
        <w:tc>
          <w:tcPr>
            <w:tcW w:type="dxa" w:w="2880"/>
            <w:vAlign w:val="center"/>
            <w:shd w:fill="F7F9FD"/>
          </w:tcPr>
          <w:p>
            <w:pPr>
              <w:pStyle w:val="TableBody"/>
            </w:pPr>
            <w:r>
              <w:rPr>
                <w:sz w:val="18"/>
              </w:rPr>
              <w:t>Organización</w:t>
            </w:r>
          </w:p>
        </w:tc>
        <w:tc>
          <w:tcPr>
            <w:tcW w:type="dxa" w:w="7229"/>
            <w:vAlign w:val="center"/>
            <w:shd w:fill="F7F9FD"/>
          </w:tcPr>
          <w:p>
            <w:pPr>
              <w:pStyle w:val="TableBody"/>
            </w:pPr>
            <w:r>
              <w:rPr>
                <w:sz w:val="18"/>
              </w:rPr>
              <w:t>Seleccionable solo entre contextos autorizados; el servidor valida recurso/rol.</w:t>
            </w:r>
          </w:p>
        </w:tc>
      </w:tr>
      <w:tr>
        <w:trPr>
          <w:cantSplit/>
        </w:trPr>
        <w:tc>
          <w:tcPr>
            <w:tcW w:type="dxa" w:w="2880"/>
            <w:vAlign w:val="center"/>
            <w:shd w:fill="FFFFFF"/>
          </w:tcPr>
          <w:p>
            <w:pPr>
              <w:pStyle w:val="TableBody"/>
            </w:pPr>
            <w:r>
              <w:rPr>
                <w:sz w:val="18"/>
              </w:rPr>
              <w:t>Idempotencia</w:t>
            </w:r>
          </w:p>
        </w:tc>
        <w:tc>
          <w:tcPr>
            <w:tcW w:type="dxa" w:w="7229"/>
            <w:vAlign w:val="center"/>
            <w:shd w:fill="FFFFFF"/>
          </w:tcPr>
          <w:p>
            <w:pPr>
              <w:pStyle w:val="TableBody"/>
            </w:pPr>
            <w:r>
              <w:rPr>
                <w:sz w:val="18"/>
              </w:rPr>
              <w:t>Clave estable por envío lógico, ligada a propietario y contenido.</w:t>
            </w:r>
          </w:p>
        </w:tc>
      </w:tr>
      <w:tr>
        <w:trPr>
          <w:cantSplit/>
        </w:trPr>
        <w:tc>
          <w:tcPr>
            <w:tcW w:type="dxa" w:w="2880"/>
            <w:vAlign w:val="center"/>
            <w:shd w:fill="F7F9FD"/>
          </w:tcPr>
          <w:p>
            <w:pPr>
              <w:pStyle w:val="TableBody"/>
            </w:pPr>
            <w:r>
              <w:rPr>
                <w:sz w:val="18"/>
              </w:rPr>
              <w:t>Referencia pública</w:t>
            </w:r>
          </w:p>
        </w:tc>
        <w:tc>
          <w:tcPr>
            <w:tcW w:type="dxa" w:w="7229"/>
            <w:vAlign w:val="center"/>
            <w:shd w:fill="F7F9FD"/>
          </w:tcPr>
          <w:p>
            <w:pPr>
              <w:pStyle w:val="TableBody"/>
            </w:pPr>
            <w:r>
              <w:rPr>
                <w:sz w:val="18"/>
              </w:rPr>
              <w:t>Devuelta por servidor; no una porción arbitraria del UUID.</w:t>
            </w:r>
          </w:p>
        </w:tc>
      </w:tr>
    </w:tbl>
    <w:p>
      <w:pPr>
        <w:spacing w:after="40"/>
      </w:pPr>
    </w:p>
    <w:p>
      <w:r>
        <w:t>Los nombres exactos pueden adaptarse al código vigente. No agregues campos a la interfaz sin contrato/persistencia/lectura, ni a la base sin explicar para qué sirven. El catálogo y los contratos compartidos deben evitar validaciones diferentes entre Home, wizard, API y repositorio.</w:t>
      </w:r>
    </w:p>
    <w:p>
      <w:pPr>
        <w:pStyle w:val="Heading1"/>
      </w:pPr>
      <w:r>
        <w:t>16. Borrador, edición y recuperación de red</w:t>
      </w:r>
    </w:p>
    <w:p>
      <w:pPr>
        <w:pStyle w:val="Heading2"/>
      </w:pPr>
      <w:r>
        <w:t>16.1 Una fuente de verdad de borrador</w:t>
      </w:r>
    </w:p>
    <w:p>
      <w:r>
        <w:t>Conserva modalidad, lugares, fecha/hora/zona, categoría, pasajeros, contacto y notas que correspondan. Home, servicios, vehículos y portal llegan al mismo recorrido sin recrearlo. No transportes datos personales completos en parámetros URL; limita esos parámetros a intención no sensible o referencias seguras.</w:t>
      </w:r>
    </w:p>
    <w:p>
      <w:r>
        <w:t>El candidato almacena un borrador versionado con caducidad de 30 minutos. Esa duración es una decisión técnica de revisión, no una política aprobada de retención. Revisa su comportamiento y documenta TTL, advertencia, renovación durante actividad y limpieza. No borres silenciosamente un viaje mientras alguien completa el último paso o espera una respuesta incierta. Una caducidad de seguridad necesita un mensaje útil y una recuperación permitida cuando corresponda.</w:t>
      </w:r>
    </w:p>
    <w:p>
      <w:r>
        <w:t>El almacenamiento del navegador no es confiable: valida versión, tipos, tamaño, valores y expiración. Maneja JSON corrupto, almacenamiento bloqueado y cuota agotada sin romper el formulario. No almacenes contraseña, tokens de sesión ni datos de tarjeta junto al borrador. Mantén la sesión segura en servidor/cookies según la arquitectura.</w:t>
      </w:r>
    </w:p>
    <w:p>
      <w:pPr>
        <w:pStyle w:val="Heading2"/>
      </w:pPr>
      <w:r>
        <w:t>16.2 Cambio de identidad</w:t>
      </w:r>
    </w:p>
    <w:p>
      <w:r>
        <w:t>Al expirar una sesión conserva la parte de borrador permitida para retomar tras autenticación. Al cerrar sesión voluntariamente limpia datos asociados a ese usuario y comprueba que otro no los vea. Define explícitamente qué campos no sensibles pueden permanecer y cuándo se descartan. No mezcles la comodidad de retomar un viaje con compartir pasajeros y contactos entre cuentas.</w:t>
      </w:r>
    </w:p>
    <w:p>
      <w:r>
        <w:t>Al cambiar de idioma no cambia el dato. Al cambiar modo, conserva origen/fecha/hora compatibles y limpia o inactiva campos no aplicables de forma explícita. No reutilices un precio o cotización de la modalidad anterior.</w:t>
      </w:r>
    </w:p>
    <w:p>
      <w:pPr>
        <w:pStyle w:val="Heading2"/>
      </w:pPr>
      <w:r>
        <w:t>16.3 Envío incierto e idempotencia</w:t>
      </w:r>
    </w:p>
    <w:p>
      <w:r>
        <w:t xml:space="preserve">Diferencia </w:t>
      </w:r>
      <w:r>
        <w:rPr>
          <w:rFonts w:ascii="Liberation Mono" w:hAnsi="Liberation Mono"/>
          <w:color w:val="001030"/>
          <w:sz w:val="18"/>
        </w:rPr>
        <w:t>editing</w:t>
      </w:r>
      <w:r>
        <w:t xml:space="preserve">, </w:t>
      </w:r>
      <w:r>
        <w:rPr>
          <w:rFonts w:ascii="Liberation Mono" w:hAnsi="Liberation Mono"/>
          <w:color w:val="001030"/>
          <w:sz w:val="18"/>
        </w:rPr>
        <w:t>submitting</w:t>
      </w:r>
      <w:r>
        <w:t xml:space="preserve">, </w:t>
      </w:r>
      <w:r>
        <w:rPr>
          <w:rFonts w:ascii="Liberation Mono" w:hAnsi="Liberation Mono"/>
          <w:color w:val="001030"/>
          <w:sz w:val="18"/>
        </w:rPr>
        <w:t>uncertain</w:t>
      </w:r>
      <w:r>
        <w:t xml:space="preserve"> y </w:t>
      </w:r>
      <w:r>
        <w:rPr>
          <w:rFonts w:ascii="Liberation Mono" w:hAnsi="Liberation Mono"/>
          <w:color w:val="001030"/>
          <w:sz w:val="18"/>
        </w:rPr>
        <w:t>submitted</w:t>
      </w:r>
      <w:r>
        <w:t xml:space="preserve"> o estados equivalentes. Un timeout no demuestra que la reserva no se guardó. Mantén la misma clave para repetir el envío lógico y recuperar su resultado, con autorización. No generes otro UUID cada vez que el usuario pulsa reintentar.</w:t>
      </w:r>
    </w:p>
    <w:p>
      <w:r>
        <w:t>El servidor debe distinguir repetición del mismo contenido de reutilización de clave con contenido diferente. No devolver una solicitud de otro usuario aunque coincida una clave. Comprueba concurrencia y restricción única; no confíes solo en deshabilitar el botón. Una edición después de un éxito crea una nueva operación deliberada o una modificación versionada, no otro POST accidental de la misma solicitud.</w:t>
      </w:r>
    </w:p>
    <w:p>
      <w:r>
        <w:t>No permitas que una navegación, selector de servicio o limpieza automática destruya el identificador de un envío incierto. Ofrece reintento/consulta del resultado antes de empezar otro envío. Mantén registro del error útil, sin exponer datos privados en logs.</w:t>
      </w:r>
    </w:p>
    <w:p>
      <w:pPr>
        <w:pStyle w:val="Heading1"/>
      </w:pPr>
      <w:r>
        <w:t>17. Modalidades, ubicaciones y fecha/hora</w:t>
      </w:r>
    </w:p>
    <w:p>
      <w:pPr>
        <w:pStyle w:val="Heading2"/>
      </w:pPr>
      <w:r>
        <w:t>17.1 Modos condicionales</w:t>
      </w:r>
    </w:p>
    <w:p>
      <w:r>
        <w:t>One way y By the hour bastan como entrada rápida. Airport y City-to-city pueden ser contextos del traslado; los códigos anteriores siguen preservados. Por horas recoge duración y, cuando aplique, itinerario opcional. Round Trip recoge dos tramos reales. Airport distingue llegada/salida y el dato de vuelo pertinente. FBO y eventos complejos pueden ir a consulta, sin fingir checkout completo. [D02 parte III §09.3; D03 §15]</w:t>
      </w:r>
    </w:p>
    <w:p>
      <w:r>
        <w:t>La lista de duraciones de la revisión es demostrativa. No convierte una hora, dos horas o veinticuatro horas en política comercial. Si no hay límites aprobados, admite solicitud de duración con revisión operativa, explicándolo. No declares disponibilidad por una fecha que técnicamente pasa un validador.</w:t>
      </w:r>
    </w:p>
    <w:p>
      <w:pPr>
        <w:pStyle w:val="Heading2"/>
      </w:pPr>
      <w:r>
        <w:t>17.2 Lugares</w:t>
      </w:r>
    </w:p>
    <w:p>
      <w:r>
        <w:t>Un texto de dirección no es una geocodificación verificada. Si existe proveedor aprobado, implementa autocompletado con identificación clara de ciudad/región/tipo, cancelación de consultas obsoletas, teclado, carga, vacío y error. Conserva identificadores y zona solo conforme a capacidades y condiciones del proveedor.</w:t>
      </w:r>
    </w:p>
    <w:p>
      <w:r>
        <w:t>Si no hay proveedor, permite texto manual en una solicitud bajo revisión. No calcules precio exacto o cobertura con datos simulados. Para un FBO no localizado, ofrece coordinación manual. Nunca uses llamadas privadas o automatización de Blacklane como sustituto de una API contratada. [D03 §16]</w:t>
      </w:r>
    </w:p>
    <w:p>
      <w:pPr>
        <w:pStyle w:val="Heading2"/>
      </w:pPr>
      <w:r>
        <w:t>17.3 Tiempo</w:t>
      </w:r>
    </w:p>
    <w:p>
      <w:r>
        <w:t xml:space="preserve">Interpreta la hora en la zona del lugar de recogida. El contexto Boston usa </w:t>
      </w:r>
      <w:r>
        <w:rPr>
          <w:rFonts w:ascii="Liberation Mono" w:hAnsi="Liberation Mono"/>
          <w:color w:val="001030"/>
          <w:sz w:val="18"/>
        </w:rPr>
        <w:t>America/New_York</w:t>
      </w:r>
      <w:r>
        <w:t>, no un UTC-5 permanente. Guarda un instante inequívoco y zona IANA. Valida horas inexistentes y ambiguas de cambios estacionales; cuando haya dos instantes posibles, requiere una elección explícita comprensible o coordinación, no el primero de manera silenciosa.</w:t>
      </w:r>
    </w:p>
    <w:p>
      <w:r>
        <w:t>Revalida al cambiar lugar, fecha, modalidad o regreso. No aceptes fechas pasadas solo porque el string es ISO. La anticipación mínima, horizonte máximo y política de urgencias son configuración operativa pendiente, no valores para copiar de Blacklane o CHARIS.</w:t>
      </w:r>
    </w:p>
    <w:p>
      <w:r>
        <w:t>Prueba con reloj controlado, zonas válidas/inválidas, dos offsets estacionales, hora inexistente, hora ambigua, medianoche y regreso anterior. Las pruebas no deben vencer por usar una fecha de septiembre de 2026 como futuro. No construyas conversión de fecha a partir de formatos dependientes del idioma del equipo.</w:t>
      </w:r>
    </w:p>
    <w:p>
      <w:pPr>
        <w:pStyle w:val="Heading1"/>
      </w:pPr>
      <w:r>
        <w:t>18. Registro, acceso, verificación y recuperación</w:t>
      </w:r>
    </w:p>
    <w:p>
      <w:r>
        <w:rPr>
          <w:b/>
        </w:rPr>
        <w:t>Prioridad documentada:</w:t>
      </w:r>
      <w:r>
        <w:t xml:space="preserve"> acceso y registro mínimos con continuidad real del viaje. El original tenía login conectado pero Create account y Reset no. El candidato posterior aporta código para estos recorridos, que debe integrarse y comprobarse sobre el servidor y el runtime correctos. [D02 parte III §11; C03]</w:t>
      </w:r>
    </w:p>
    <w:p>
      <w:pPr>
        <w:keepNext/>
        <w:spacing w:before="100" w:after="60"/>
        <w:jc w:val="center"/>
      </w:pPr>
      <w:r>
        <w:drawing>
          <wp:inline xmlns:a="http://schemas.openxmlformats.org/drawingml/2006/main" xmlns:pic="http://schemas.openxmlformats.org/drawingml/2006/picture">
            <wp:extent cx="3815655" cy="5212079"/>
            <wp:docPr id="10" name="Picture 10" descr="V11. Referencia de registro. Conservar jerarquía visual, no cuentas ni datos de ejemplo." title="ASCENTA-Registro.png"/>
            <wp:cNvGraphicFramePr>
              <a:graphicFrameLocks noChangeAspect="1"/>
            </wp:cNvGraphicFramePr>
            <a:graphic>
              <a:graphicData uri="http://schemas.openxmlformats.org/drawingml/2006/picture">
                <pic:pic>
                  <pic:nvPicPr>
                    <pic:cNvPr id="0" name="ASCENTA-Registro.png"/>
                    <pic:cNvPicPr/>
                  </pic:nvPicPr>
                  <pic:blipFill>
                    <a:blip r:embed="rId20"/>
                    <a:stretch>
                      <a:fillRect/>
                    </a:stretch>
                  </pic:blipFill>
                  <pic:spPr>
                    <a:xfrm>
                      <a:off x="0" y="0"/>
                      <a:ext cx="3815655" cy="5212079"/>
                    </a:xfrm>
                    <a:prstGeom prst="rect"/>
                  </pic:spPr>
                </pic:pic>
              </a:graphicData>
            </a:graphic>
          </wp:inline>
        </w:drawing>
      </w:r>
    </w:p>
    <w:p>
      <w:pPr>
        <w:pStyle w:val="Caption"/>
        <w:keepLines/>
      </w:pPr>
      <w:r>
        <w:t>V11. Referencia de registro. Conservar jerarquía visual, no cuentas ni datos de ejemplo.</w:t>
      </w:r>
    </w:p>
    <w:p>
      <w:pPr>
        <w:pStyle w:val="Heading2"/>
      </w:pPr>
      <w:r>
        <w:t>18.1 Diseño de la pantalla</w:t>
      </w:r>
    </w:p>
    <w:p>
      <w:r>
        <w:t xml:space="preserve">Mantén identidad, espacio, formulario legible y acceso/alta/recuperación reconocibles. Puede reutilizarse la composición editorial con tarjeta de la revisión. No esconder “ya tengo cuenta” como texto casi invisible ni mostrar botones OAuth sin implementación. Ofrece mostrar/ocultar contraseña, gestores de contraseña, pegado y </w:t>
      </w:r>
      <w:r>
        <w:rPr>
          <w:rFonts w:ascii="Liberation Mono" w:hAnsi="Liberation Mono"/>
          <w:color w:val="001030"/>
          <w:sz w:val="18"/>
        </w:rPr>
        <w:t>autocomplete</w:t>
      </w:r>
      <w:r>
        <w:t xml:space="preserve"> correcto.</w:t>
      </w:r>
    </w:p>
    <w:p>
      <w:r>
        <w:t>El estado de envío debe explicar qué pasa. Los errores se asocian al campo y permanecen visibles. No cambia el ancho de la tarjeta ni salta el botón al aparecer una ayuda. En móvil el formulario domina; la imagen editorial se reordena o reduce sin obstaculizarlo.</w:t>
      </w:r>
    </w:p>
    <w:p>
      <w:pPr>
        <w:pStyle w:val="Heading2"/>
      </w:pPr>
      <w:r>
        <w:t>18.2 Alta mínima y términos</w:t>
      </w:r>
    </w:p>
    <w:p>
      <w:r>
        <w:t>Pide nombre, correo y contraseña como punto de partida. Separar apellido, teléfono o empresa solo cuando exista necesidad real documentada; el contacto del pasajero pertenece al viaje. No exigir información de pago, género, domicilio ni fecha de nacimiento para crear una cuenta básica.</w:t>
      </w:r>
    </w:p>
    <w:p>
      <w:r>
        <w:t>La aceptación necesaria debe tener contenido y versión reales del entorno; marketing es opcional y no premarcado. Un borrador legal no se convierte en condición comercial aprobada por añadir un checkbox. El backend valida las condiciones requeridas además de la UI. Diseña claramente el estado provisional de pruebas.</w:t>
      </w:r>
    </w:p>
    <w:p>
      <w:r>
        <w:t>La revisión propone un mínimo de contraseña de 12 caracteres; no está aprobado como política final de seguridad. Define la política con el modelo de acceso y guías vigentes, manteniendo compatibilidad con usuarios existentes. No impones retrospectivamente la regla de alta a un login heredado ni truncas una contraseña que el algoritmo no admita.</w:t>
      </w:r>
    </w:p>
    <w:p>
      <w:pPr>
        <w:pStyle w:val="Heading2"/>
      </w:pPr>
      <w:r>
        <w:t>18.3 Persistencia y duplicados</w:t>
      </w:r>
    </w:p>
    <w:p>
      <w:r>
        <w:t>Crear cuenta, generar comprobante y preparar notificación deben manejar fallos sin dejar usuarios huérfanos o duplicados. Si falla el envío de correo tras persistir, permite reenviar y retomar; no responde como si nada se hubiera guardado ni crea otra cuenta al repetir el formulario. Normaliza correo coherentemente con el modelo y aplica unicidad transaccional.</w:t>
      </w:r>
    </w:p>
    <w:p>
      <w:r>
        <w:t>Define qué puede hacer una cuenta pendiente de verificación y aplica esa política en servidor. No basta con esconder el dashboard. La verificación puede demostrarse con buzón de desarrollo; eso no acredita entrega externa. No conviertas el primer registrado ni un campo del navegador en administrador.</w:t>
      </w:r>
    </w:p>
    <w:p>
      <w:pPr>
        <w:pStyle w:val="Heading2"/>
      </w:pPr>
      <w:r>
        <w:t>18.4 Login, retorno y logout</w:t>
      </w:r>
    </w:p>
    <w:p>
      <w:r>
        <w:t xml:space="preserve">Retoma una ruta interna permitida, incluyendo </w:t>
      </w:r>
      <w:r>
        <w:rPr>
          <w:rFonts w:ascii="Liberation Mono" w:hAnsi="Liberation Mono"/>
          <w:color w:val="001030"/>
          <w:sz w:val="18"/>
        </w:rPr>
        <w:t>/booking</w:t>
      </w:r>
      <w:r>
        <w:t xml:space="preserve">, sin aceptar destinos externos, protocol-relative, esquemas peligrosos o variantes codificadas equivalentes. </w:t>
      </w:r>
      <w:r>
        <w:rPr>
          <w:rFonts w:ascii="Liberation Mono" w:hAnsi="Liberation Mono"/>
          <w:color w:val="001030"/>
          <w:sz w:val="18"/>
        </w:rPr>
        <w:t>?next=</w:t>
      </w:r>
      <w:r>
        <w:t xml:space="preserve"> no debe ignorarse ni provocar un open redirect. Conserva el borrador autorizado y muestra el perfil correcto después del acceso.</w:t>
      </w:r>
    </w:p>
    <w:p>
      <w:r>
        <w:t>Distingue cargando sesión, sesión ausente, fallo de red y falta de permiso. No redirijas a login cada vez que la API tarda. Logout revoca en servidor, limpia estado sensible y CSRF cliente, sincroniza pestañas razonablemente y evita recuperar datos privados con el botón Atrás.</w:t>
      </w:r>
    </w:p>
    <w:p>
      <w:pPr>
        <w:pStyle w:val="Heading2"/>
      </w:pPr>
      <w:r>
        <w:t>18.5 Recuperación y verificación</w:t>
      </w:r>
    </w:p>
    <w:p>
      <w:r>
        <w:t>Utiliza comprobantes aleatorios, de un solo uso, con caducidad y protección contra abuso. No expongas si un correo existe mediante mensajes o tiempos evitables. La recuperación debe manejar token incorrecto, vencido, utilizado, repetido y carrera de consumo. Después de cambiar contraseña define revocación de sesiones y confirmación apropiada.</w:t>
      </w:r>
    </w:p>
    <w:p>
      <w:r>
        <w:t>Las respuestas de login/reset no deben devolver hashes ni secretos. No guardes tokens crudos en logs o en analítica; no los dejes como enlaces permanentes. Las pantallas de recuperación y verificación conservan la identidad y el idioma. Las guías OWASP se usan como referencia técnica, no como certificado de seguridad. [T03–T04]</w:t>
      </w:r>
    </w:p>
    <w:p>
      <w:pPr>
        <w:pStyle w:val="Heading2"/>
      </w:pPr>
      <w:r>
        <w:t>18.6 Invitado</w:t>
      </w:r>
    </w:p>
    <w:p>
      <w:r>
        <w:t xml:space="preserve">El acceso invitado fue propuesto, no quedó confirmado como arquitectura comercial y el modelo original exige creador registrado. No lo implementes quitando </w:t>
      </w:r>
      <w:r>
        <w:rPr>
          <w:rFonts w:ascii="Liberation Mono" w:hAnsi="Liberation Mono"/>
          <w:color w:val="001030"/>
          <w:sz w:val="18"/>
        </w:rPr>
        <w:t>authenticate</w:t>
      </w:r>
      <w:r>
        <w:t xml:space="preserve"> del endpoint. Si se incluye para revisión, debe tener diseño propio de contacto verificado, ownership y acceso limitado. Sin esa decisión, permite preparar el viaje antes del login y completa correctamente la vía autenticada; registra invitado como pendiente, no como botón funcional inexistente.</w:t>
      </w:r>
    </w:p>
    <w:p>
      <w:pPr>
        <w:pStyle w:val="Heading1"/>
      </w:pPr>
      <w:r>
        <w:t>19. Portal del cliente y ajustes de cuenta</w:t>
      </w:r>
    </w:p>
    <w:p>
      <w:pPr>
        <w:keepNext/>
        <w:spacing w:before="100" w:after="60"/>
        <w:jc w:val="center"/>
      </w:pPr>
      <w:r>
        <w:drawing>
          <wp:inline xmlns:a="http://schemas.openxmlformats.org/drawingml/2006/main" xmlns:pic="http://schemas.openxmlformats.org/drawingml/2006/picture">
            <wp:extent cx="4596077" cy="5212079"/>
            <wp:docPr id="11" name="Picture 11" descr="V12. Referencia del portal personal. Sustituir ejemplos por consultas autorizadas y estados vacíos." title="ASCENTA-Cuenta.png"/>
            <wp:cNvGraphicFramePr>
              <a:graphicFrameLocks noChangeAspect="1"/>
            </wp:cNvGraphicFramePr>
            <a:graphic>
              <a:graphicData uri="http://schemas.openxmlformats.org/drawingml/2006/picture">
                <pic:pic>
                  <pic:nvPicPr>
                    <pic:cNvPr id="0" name="ASCENTA-Cuenta.png"/>
                    <pic:cNvPicPr/>
                  </pic:nvPicPr>
                  <pic:blipFill>
                    <a:blip r:embed="rId21"/>
                    <a:stretch>
                      <a:fillRect/>
                    </a:stretch>
                  </pic:blipFill>
                  <pic:spPr>
                    <a:xfrm>
                      <a:off x="0" y="0"/>
                      <a:ext cx="4596077" cy="5212079"/>
                    </a:xfrm>
                    <a:prstGeom prst="rect"/>
                  </pic:spPr>
                </pic:pic>
              </a:graphicData>
            </a:graphic>
          </wp:inline>
        </w:drawing>
      </w:r>
    </w:p>
    <w:p>
      <w:pPr>
        <w:pStyle w:val="Caption"/>
        <w:keepLines/>
      </w:pPr>
      <w:r>
        <w:t>V12. Referencia del portal personal. Sustituir ejemplos por consultas autorizadas y estados vacíos.</w:t>
      </w:r>
    </w:p>
    <w:p>
      <w:r>
        <w:t xml:space="preserve">Mantén un armazón claro con identidad, navegación de viajes, datos de cuenta, seguridad y ayuda. Reutiliza </w:t>
      </w:r>
      <w:r>
        <w:rPr>
          <w:rFonts w:ascii="Liberation Mono" w:hAnsi="Liberation Mono"/>
          <w:color w:val="001030"/>
          <w:sz w:val="18"/>
        </w:rPr>
        <w:t>DashboardShell</w:t>
      </w:r>
      <w:r>
        <w:t xml:space="preserve"> o su responsabilidad equivalente, sin dejar dos menús competidores. La cabecera muestra la identidad real de sesión, no “Alex” ni otro fixture. [D02 parte III §12.2; C03 </w:t>
      </w:r>
      <w:r>
        <w:rPr>
          <w:rFonts w:ascii="Liberation Mono" w:hAnsi="Liberation Mono"/>
          <w:color w:val="001030"/>
          <w:sz w:val="18"/>
        </w:rPr>
        <w:t>portal.tsx</w:t>
      </w:r>
      <w:r>
        <w:t>]</w:t>
      </w:r>
    </w:p>
    <w:p>
      <w:r>
        <w:t>El primer foco es la próxima solicitud/viaje pertinente y el estado real. Después, historial y detalle. Sin registros, muestra una invitación para iniciar viaje; con error de API, no lo confundas con “todavía no hay viajes”. Las cifras agregadas solo existen si se calculan de datos autorizados y tienen significado definido.</w:t>
      </w:r>
    </w:p>
    <w:p>
      <w:r>
        <w:t>El detalle incluye referencia, itinerario, hora y zona, pasajero/solicitante, categoría solicitada, estado y datos de coordinación publicables. Cotización solo cuando existe; recibo solo cuando hay fuente de pago/facturación. No fabriques historial para que el diseño se vea lleno.</w:t>
      </w:r>
    </w:p>
    <w:p>
      <w:r>
        <w:t>Filtros y búsqueda deben funcionar sobre el conjunto correcto, con paginación si procede. Al modificar un filtro, resultados y exportación deben coincidir. Al abrir una solicitud por URL o ID, el servidor comprueba pertenencia; no confíes en que el usuario llegó desde su lista.</w:t>
      </w:r>
    </w:p>
    <w:p>
      <w:r>
        <w:t>Los ajustes de nombre/contacto requieren validación, persistencia y refresco coherente del header. Cambio de correo o contraseña exige verificación/reautenticación adecuada. “Ubicaciones guardadas”, “viajeros”, “métodos de pago” y “facturas” no pueden ser controles huecos: conecta lo incluido y deja fuera o explícitamente pendiente lo demás.</w:t>
      </w:r>
    </w:p>
    <w:p>
      <w:r>
        <w:t>Una solicitud de modificación/cancelación no equivale a una modificación aceptada. Conserva la versión anterior, comunica estado pendiente y no sobrescribas una cotización o reserva confirmada sin la transición operativa correspondiente. No inventes plazos o penalidades.</w:t>
      </w:r>
    </w:p>
    <w:p>
      <w:pPr>
        <w:pStyle w:val="Heading1"/>
      </w:pPr>
      <w:r>
        <w:t>20. Portal corporativo y permisos</w:t>
      </w:r>
    </w:p>
    <w:p>
      <w:r>
        <w:t xml:space="preserve">Preserva la distinción de roles del original: </w:t>
      </w:r>
      <w:r>
        <w:rPr>
          <w:rFonts w:ascii="Liberation Mono" w:hAnsi="Liberation Mono"/>
          <w:color w:val="001030"/>
          <w:sz w:val="18"/>
        </w:rPr>
        <w:t>CUSTOMER</w:t>
      </w:r>
      <w:r>
        <w:t xml:space="preserve">, </w:t>
      </w:r>
      <w:r>
        <w:rPr>
          <w:rFonts w:ascii="Liberation Mono" w:hAnsi="Liberation Mono"/>
          <w:color w:val="001030"/>
          <w:sz w:val="18"/>
        </w:rPr>
        <w:t>CORPORATE_BOOKER</w:t>
      </w:r>
      <w:r>
        <w:t xml:space="preserve">, </w:t>
      </w:r>
      <w:r>
        <w:rPr>
          <w:rFonts w:ascii="Liberation Mono" w:hAnsi="Liberation Mono"/>
          <w:color w:val="001030"/>
          <w:sz w:val="18"/>
        </w:rPr>
        <w:t>CORPORATE_ADMIN</w:t>
      </w:r>
      <w:r>
        <w:t xml:space="preserve"> y </w:t>
      </w:r>
      <w:r>
        <w:rPr>
          <w:rFonts w:ascii="Liberation Mono" w:hAnsi="Liberation Mono"/>
          <w:color w:val="001030"/>
          <w:sz w:val="18"/>
        </w:rPr>
        <w:t>ASCENTA_ADMIN</w:t>
      </w:r>
      <w:r>
        <w:t>. Una empresa cliente no administra la plataforma de ASCENTA. Tener una membresía no debe conceder acceso indiscriminado a toda reserva de cualquier organización. [D02 parte III §12.2–12.3]</w:t>
      </w:r>
    </w:p>
    <w:p>
      <w:r>
        <w:t>Define una matriz por organización, recurso y acción: preparar solicitud, ver propias, ver las de la empresa, gestionar viajeros, solicitar cambios, consultar cotizaciones y acceder a datos de facturación. El alcance exacto corporativo es pendiente de política; en desarrollo aplica mínimo privilegio documentado y evita ampliar accesos porque la UI tenga espacio.</w:t>
      </w:r>
    </w:p>
    <w:p>
      <w:r>
        <w:t xml:space="preserve">Un booker puede reservar para terceros autorizados sin cambiar su perfil. Un administrador corporativo no puede concederse rol interno. Cambiar el </w:t>
      </w:r>
      <w:r>
        <w:rPr>
          <w:rFonts w:ascii="Liberation Mono" w:hAnsi="Liberation Mono"/>
          <w:color w:val="001030"/>
          <w:sz w:val="18"/>
        </w:rPr>
        <w:t>organizationId</w:t>
      </w:r>
      <w:r>
        <w:t xml:space="preserve"> en el payload debe fallar cuando la relación no lo permite. La misma protección se aplica en listas, detalle, exportación, búsqueda y cualquier endpoint nuevo.</w:t>
      </w:r>
    </w:p>
    <w:p>
      <w:r>
        <w:rPr>
          <w:rFonts w:ascii="Liberation Mono" w:hAnsi="Liberation Mono"/>
          <w:color w:val="001030"/>
          <w:sz w:val="18"/>
        </w:rPr>
        <w:t>/corporate/usage</w:t>
      </w:r>
      <w:r>
        <w:t xml:space="preserve"> no debe seguir exportando un dataset fijo. Prioriza conectar solicitudes y viajeros; añade analítica solo si la fuente existe. Si no hay facturas o pagos, no calcules “gasto” sumando solicitudes sin confirmar. El modo de revisión puede mostrar estados vacíos, no métricas inventadas que un flag oculte parcialmente.</w:t>
      </w:r>
    </w:p>
    <w:p>
      <w:pPr>
        <w:pStyle w:val="Heading1"/>
      </w:pPr>
      <w:r>
        <w:t>21. Recepción operativa interna, cotizaciones y estados</w:t>
      </w:r>
    </w:p>
    <w:p>
      <w:pPr>
        <w:keepNext/>
        <w:spacing w:before="100" w:after="60"/>
        <w:jc w:val="center"/>
      </w:pPr>
      <w:r>
        <w:drawing>
          <wp:inline xmlns:a="http://schemas.openxmlformats.org/drawingml/2006/main" xmlns:pic="http://schemas.openxmlformats.org/drawingml/2006/picture">
            <wp:extent cx="2746973" cy="4160520"/>
            <wp:docPr id="12" name="Picture 12" descr="V13. Referencia de operaciones. Acceso interno y acciones auditables; no es el portal corporativo del cliente." title="ASCENTA-Operaciones.png"/>
            <wp:cNvGraphicFramePr>
              <a:graphicFrameLocks noChangeAspect="1"/>
            </wp:cNvGraphicFramePr>
            <a:graphic>
              <a:graphicData uri="http://schemas.openxmlformats.org/drawingml/2006/picture">
                <pic:pic>
                  <pic:nvPicPr>
                    <pic:cNvPr id="0" name="ASCENTA-Operaciones.png"/>
                    <pic:cNvPicPr/>
                  </pic:nvPicPr>
                  <pic:blipFill>
                    <a:blip r:embed="rId22"/>
                    <a:stretch>
                      <a:fillRect/>
                    </a:stretch>
                  </pic:blipFill>
                  <pic:spPr>
                    <a:xfrm>
                      <a:off x="0" y="0"/>
                      <a:ext cx="2746973" cy="4160520"/>
                    </a:xfrm>
                    <a:prstGeom prst="rect"/>
                  </pic:spPr>
                </pic:pic>
              </a:graphicData>
            </a:graphic>
          </wp:inline>
        </w:drawing>
      </w:r>
    </w:p>
    <w:p>
      <w:pPr>
        <w:pStyle w:val="Caption"/>
        <w:keepLines/>
      </w:pPr>
      <w:r>
        <w:t>V13. Referencia de operaciones. Acceso interno y acciones auditables; no es el portal corporativo del cliente.</w:t>
      </w:r>
    </w:p>
    <w:p>
      <w:r>
        <w:t xml:space="preserve">La auditoría original no encontró un panel interno. La revisión posterior propone uno; intégralo o crea la responsabilidad mínima necesaria, sin afirmar que ya existía probado. Objetivo: que una solicitud guardada llegue a una persona o sistema responsable y pueda tratarse de manera verificable. [D02 parte III §12.3; C03 </w:t>
      </w:r>
      <w:r>
        <w:rPr>
          <w:rFonts w:ascii="Liberation Mono" w:hAnsi="Liberation Mono"/>
          <w:color w:val="001030"/>
          <w:sz w:val="18"/>
        </w:rPr>
        <w:t>operations.tsx</w:t>
      </w:r>
      <w:r>
        <w:t>]</w:t>
      </w:r>
    </w:p>
    <w:p>
      <w:pPr>
        <w:pStyle w:val="Heading2"/>
      </w:pPr>
      <w:r>
        <w:t>21.1 Pantalla mínima útil</w:t>
      </w:r>
    </w:p>
    <w:p>
      <w:r>
        <w:t>Cola de solicitudes con referencia, estado, fecha/hora, servicio y contacto necesario; filtros reales y detalle. Área de consultas generales/empresariales cuando se implementen. Vista de cotización manual con importe, moneda, condiciones e inclusiones, vigencia y revisión. Historial de acciones autorizado.</w:t>
      </w:r>
    </w:p>
    <w:p>
      <w:r>
        <w:t>Distingue notas internas de mensajes al cliente. No envíes automáticamente todo el log de operación al pasajero. Deshabilitar una acción por permiso o estado explica por qué; el backend valida de nuevo. Evita botones que modifican varias entidades sin transacción y dejan resultados parciales.</w:t>
      </w:r>
    </w:p>
    <w:p>
      <w:pPr>
        <w:pStyle w:val="Heading2"/>
      </w:pPr>
      <w:r>
        <w:t>21.2 Máquina de estados</w:t>
      </w:r>
    </w:p>
    <w:p>
      <w:r>
        <w:t xml:space="preserve">Conserva los estados originales </w:t>
      </w:r>
      <w:r>
        <w:rPr>
          <w:rFonts w:ascii="Liberation Mono" w:hAnsi="Liberation Mono"/>
          <w:color w:val="001030"/>
          <w:sz w:val="18"/>
        </w:rPr>
        <w:t>DRAFT</w:t>
      </w:r>
      <w:r>
        <w:t xml:space="preserve">, </w:t>
      </w:r>
      <w:r>
        <w:rPr>
          <w:rFonts w:ascii="Liberation Mono" w:hAnsi="Liberation Mono"/>
          <w:color w:val="001030"/>
          <w:sz w:val="18"/>
        </w:rPr>
        <w:t>REQUESTED</w:t>
      </w:r>
      <w:r>
        <w:t xml:space="preserve">, </w:t>
      </w:r>
      <w:r>
        <w:rPr>
          <w:rFonts w:ascii="Liberation Mono" w:hAnsi="Liberation Mono"/>
          <w:color w:val="001030"/>
          <w:sz w:val="18"/>
        </w:rPr>
        <w:t>QUOTED</w:t>
      </w:r>
      <w:r>
        <w:t xml:space="preserve">, </w:t>
      </w:r>
      <w:r>
        <w:rPr>
          <w:rFonts w:ascii="Liberation Mono" w:hAnsi="Liberation Mono"/>
          <w:color w:val="001030"/>
          <w:sz w:val="18"/>
        </w:rPr>
        <w:t>CONFIRMED</w:t>
      </w:r>
      <w:r>
        <w:t xml:space="preserve">, </w:t>
      </w:r>
      <w:r>
        <w:rPr>
          <w:rFonts w:ascii="Liberation Mono" w:hAnsi="Liberation Mono"/>
          <w:color w:val="001030"/>
          <w:sz w:val="18"/>
        </w:rPr>
        <w:t>COMPLETED</w:t>
      </w:r>
      <w:r>
        <w:t xml:space="preserve">, </w:t>
      </w:r>
      <w:r>
        <w:rPr>
          <w:rFonts w:ascii="Liberation Mono" w:hAnsi="Liberation Mono"/>
          <w:color w:val="001030"/>
          <w:sz w:val="18"/>
        </w:rPr>
        <w:t>CANCELLED</w:t>
      </w:r>
      <w:r>
        <w:t>. Su presencia en Prisma no demuestra que las transiciones existan. Documenta para cada transición: actor permitido, precondiciones, datos requeridos, efecto persistido, comunicación y auditoría.</w:t>
      </w:r>
    </w:p>
    <w:p>
      <w:r>
        <w:t xml:space="preserve">El borrador de navegador puede no ser una fila </w:t>
      </w:r>
      <w:r>
        <w:rPr>
          <w:rFonts w:ascii="Liberation Mono" w:hAnsi="Liberation Mono"/>
          <w:color w:val="001030"/>
          <w:sz w:val="18"/>
        </w:rPr>
        <w:t>DRAFT</w:t>
      </w:r>
      <w:r>
        <w:t xml:space="preserve"> persistida; el modelo debe explicarlo. Una solicitud nueva es </w:t>
      </w:r>
      <w:r>
        <w:rPr>
          <w:rFonts w:ascii="Liberation Mono" w:hAnsi="Liberation Mono"/>
          <w:color w:val="001030"/>
          <w:sz w:val="18"/>
        </w:rPr>
        <w:t>REQUESTED</w:t>
      </w:r>
      <w:r>
        <w:t xml:space="preserve">. Emitir una cotización válida permite </w:t>
      </w:r>
      <w:r>
        <w:rPr>
          <w:rFonts w:ascii="Liberation Mono" w:hAnsi="Liberation Mono"/>
          <w:color w:val="001030"/>
          <w:sz w:val="18"/>
        </w:rPr>
        <w:t>QUOTED</w:t>
      </w:r>
      <w:r>
        <w:t>; aceptar un precio no confirma automáticamente un vehículo si falta disponibilidad. La confirmación debe provenir de la acción operativa autorizada y sus condiciones, no del frontend ni del retorno de un proveedor.</w:t>
      </w:r>
    </w:p>
    <w:p>
      <w:r>
        <w:t>No conviertas una captura de revisión con botón de “confirmar” en autorización comercial. Puede probarse el mecanismo con fixtures identificados y controles de entorno, pero producción exige reglas, personal y fuente operativa definidos. Completar/cancelar respeta permisos y consistencia; evita transiciones arbitrarias como reabrir un viaje completado sin un proceso explícito.</w:t>
      </w:r>
    </w:p>
    <w:p>
      <w:pPr>
        <w:pStyle w:val="Heading2"/>
      </w:pPr>
      <w:r>
        <w:t>21.3 Cotización y dinero</w:t>
      </w:r>
    </w:p>
    <w:p>
      <w:r>
        <w:t>El módulo puede permitir cotización manual en revisión, sin inventar un motor tarifario. Importe y moneda validados en servidor, representados en unidades menores o decimal seguro; no floats sin control. Cotización versionada, con vigencia e inclusiones, vinculada a un itinerario determinado. Cambiar ese itinerario invalida o requiere nueva cotización, no mantiene el mismo precio silenciosamente.</w:t>
      </w:r>
    </w:p>
    <w:p>
      <w:r>
        <w:t>Los antecedentes sobre mínimos, millas no cobrables, propinas u otras hipótesis comerciales no autorizan introducir tarifas. No copies condiciones de espera, cancelación, peajes o impuestos de Blacklane. Pagos, reembolsos, depósitos y facturación dependen de proveedores/reglas aún pendientes. No pedir tarjeta en un textarea ni tratar una cotización aceptada como pago capturado.</w:t>
      </w:r>
    </w:p>
    <w:p>
      <w:pPr>
        <w:pStyle w:val="Heading2"/>
      </w:pPr>
      <w:r>
        <w:t>21.4 Auditoría y protección interna</w:t>
      </w:r>
    </w:p>
    <w:p>
      <w:r>
        <w:t xml:space="preserve">Registra actor, acción, recurso, referencia de solicitud, fecha, estado anterior/nuevo y metadatos mínimos. No contraseña, token, datos de pago o contenido privado innecesario. La auditoría debe escribirse realmente; una tabla </w:t>
      </w:r>
      <w:r>
        <w:rPr>
          <w:rFonts w:ascii="Liberation Mono" w:hAnsi="Liberation Mono"/>
          <w:color w:val="001030"/>
          <w:sz w:val="18"/>
        </w:rPr>
        <w:t>AuditLog</w:t>
      </w:r>
      <w:r>
        <w:t xml:space="preserve"> sin escrituras no resuelve trazabilidad.</w:t>
      </w:r>
    </w:p>
    <w:p>
      <w:r>
        <w:t>Las cuentas internas se aprovisionan deliberadamente por un mecanismo local/admin protegido, nunca por formulario público ni por ser “el primer usuario”. Antes de acceso de producción se requieren controles superiores, incluida la decisión de MFA y administración de privilegios. No distribuyas credenciales predeterminadas en el README.</w:t>
      </w:r>
    </w:p>
    <w:p>
      <w:pPr>
        <w:pStyle w:val="Heading1"/>
      </w:pPr>
      <w:r>
        <w:t>22. Comunicaciones, buzón local e integraciones</w:t>
      </w:r>
    </w:p>
    <w:p>
      <w:pPr>
        <w:pStyle w:val="Heading2"/>
      </w:pPr>
      <w:r>
        <w:t>22.1 Mensajes transaccionales</w:t>
      </w:r>
    </w:p>
    <w:p>
      <w:r>
        <w:t>Diseña plantillas coherentes de verificación, recuperación, solicitud recibida, cotización disponible, actualización, confirmación real y cancelación cuando el flujo exista. Cada asunto debe describir su evento: un correo de solicitud no dice “reserva confirmada”. Datos mínimos, referencia y próximo paso claro; no información sensible de otra persona.</w:t>
      </w:r>
    </w:p>
    <w:p>
      <w:r>
        <w:t>En desarrollo usa un buzón/captor local explícito. Protegerlo por entorno, binding local y mecanismo de acceso apropiado; no basta esconder su enlace. Sus claves y comprobantes no se publican en Git, capturas compartidas o logs de producción. Ninguna cuenta real debe recibir mensajes de las pruebas. La UI debe indicar que el envío es local y no acreditar entrega externa.</w:t>
      </w:r>
    </w:p>
    <w:p>
      <w:r>
        <w:t>Si el correo falla después de guardar una solicitud, conserva la solicitud y permite reintento de comunicación, evitando duplicados. Un patrón de outbox o cola equivalente es una decisión técnica posible; integra con la arquitectura existente y registra estados de entrega. No mantengas una transacción de base abierta mientras dependes de una llamada externa larga.</w:t>
      </w:r>
    </w:p>
    <w:p>
      <w:pPr>
        <w:pStyle w:val="Heading2"/>
      </w:pPr>
      <w:r>
        <w:t>22.2 Proveedores externos</w:t>
      </w:r>
    </w:p>
    <w:p>
      <w:r>
        <w:t>Apollo, HubSpot y Moovs aparecen como arquitectura prevista en D03, no como contratos activos. Define límites de responsabilidad y adaptadores solo cuando sirvan al alcance. No agregues una dependencia por un nombre mencionado en el contexto. Prospección no es parte del checkout; no transfieras automáticamente cada pasajero o cada nota a CRM.</w:t>
      </w:r>
    </w:p>
    <w:p>
      <w:r>
        <w:t>Maps/autocompletado, correo, reservas, pagos, tracking de vuelos y facturación necesitan documentación oficial, credenciales autorizadas y pruebas sandbox antes de activarse. Si faltan, terminar la vía propia de solicitud bajo revisión; identificar el punto de conexión pendiente. No usar scraping de un portal privado o automatización de navegador como integración supuestamente oficial.</w:t>
      </w:r>
    </w:p>
    <w:p>
      <w:r>
        <w:t xml:space="preserve">Los webhooks que se incorporen posteriormente requieren origen/firma, reintento, deduplicación y tratamiento de eventos fuera de orden. El retorno de una página de pago no demuestra cobro. No construyas pagos completos sin proveedor aprobado, ni expongas secretos en </w:t>
      </w:r>
      <w:r>
        <w:rPr>
          <w:rFonts w:ascii="Liberation Mono" w:hAnsi="Liberation Mono"/>
          <w:color w:val="001030"/>
          <w:sz w:val="18"/>
        </w:rPr>
        <w:t>NEXT_PUBLIC_*</w:t>
      </w:r>
      <w:r>
        <w:t>.</w:t>
      </w:r>
    </w:p>
    <w:p>
      <w:pPr>
        <w:pStyle w:val="Heading1"/>
      </w:pPr>
      <w:r>
        <w:t>23. Contratos, API y persistencia</w:t>
      </w:r>
    </w:p>
    <w:p>
      <w:pPr>
        <w:pStyle w:val="Heading2"/>
      </w:pPr>
      <w:r>
        <w:t>23.1 Contratos compartidos</w:t>
      </w:r>
    </w:p>
    <w:p>
      <w:r>
        <w:t xml:space="preserve">Extiende </w:t>
      </w:r>
      <w:r>
        <w:rPr>
          <w:rFonts w:ascii="Liberation Mono" w:hAnsi="Liberation Mono"/>
          <w:color w:val="001030"/>
          <w:sz w:val="18"/>
        </w:rPr>
        <w:t>packages/shared</w:t>
      </w:r>
      <w:r>
        <w:t xml:space="preserve"> con modelos validados y tipos coherentes; no una forma de datos diferente por pantalla. Reutiliza Zod existente para reglas sintácticas y modela reglas condicionales por servicio. Distingue input de creación, vista pública, vista operativa e información interna. No devuelvas passwordHash, tokenHash o notas internas al frontend por serializar un objeto Prisma completo.</w:t>
      </w:r>
    </w:p>
    <w:p>
      <w:r>
        <w:t>El servidor valida fecha futura, zona válida, modalidad completa, catálogo activo, restricciones de categoría cuando estén definidas, organización y ownership. La UI ayuda a corregir; la API es la autoridad. Un payload manipulado debe fallar aunque el control visual esté deshabilitado.</w:t>
      </w:r>
    </w:p>
    <w:p>
      <w:r>
        <w:t>Respuesta de creación: ID interno, referencia pública, estado y datos suficientes para que la cuenta muestre el mismo registro. Errores: código estable, mensaje seguro, correlación y campos pertinentes. No devolver errores SQL o stack trace. Un error de red no debe fingir que la solicitud fue rechazada ni inventar una confirmación local.</w:t>
      </w:r>
    </w:p>
    <w:p>
      <w:pPr>
        <w:pStyle w:val="Heading2"/>
      </w:pPr>
      <w:r>
        <w:t>23.2 API v1 y nueva implementación</w:t>
      </w:r>
    </w:p>
    <w:p>
      <w:r>
        <w:t>Antes de conectar pantallas, haz una tabla de endpoint → contrato → middleware → servicio → repositorio → pruebas. Mantén endpoints existentes que tengan consumidores; prueba login, logout, catálogo, lista y creación v1. Si es necesaria una nueva versión, registra compatibilidad, diferencia de cookies, CSRF y usuarios, y evita duplicar permanentemente los mismos recursos.</w:t>
      </w:r>
    </w:p>
    <w:p>
      <w:r>
        <w:t>No montes v2 con un fallback inseguro si su configuración falta. No uses dos estados de autenticación independientes que una UI mezcle. Si la sesión nueva no coincide con la original, presenta una transición deliberada y prueba los casos; no afirmes que el acceso a un portal demuestra sesión en todos los módulos.</w:t>
      </w:r>
    </w:p>
    <w:p>
      <w:r>
        <w:t xml:space="preserve">No retires </w:t>
      </w:r>
      <w:r>
        <w:rPr>
          <w:rFonts w:ascii="Liberation Mono" w:hAnsi="Liberation Mono"/>
          <w:color w:val="001030"/>
          <w:sz w:val="18"/>
        </w:rPr>
        <w:t>authenticate</w:t>
      </w:r>
      <w:r>
        <w:t xml:space="preserve">, </w:t>
      </w:r>
      <w:r>
        <w:rPr>
          <w:rFonts w:ascii="Liberation Mono" w:hAnsi="Liberation Mono"/>
          <w:color w:val="001030"/>
          <w:sz w:val="18"/>
        </w:rPr>
        <w:t>verifyCsrf</w:t>
      </w:r>
      <w:r>
        <w:t xml:space="preserve"> o las restricciones de organización para que una demo funcione. El seed de prueba y el rol interno no sustituyen el alta pública segura. Mantén protección de mutaciones y prueba llamadas directas no autorizadas.</w:t>
      </w:r>
    </w:p>
    <w:p>
      <w:pPr>
        <w:pStyle w:val="Heading2"/>
      </w:pPr>
      <w:r>
        <w:t>23.3 Prisma/MySQL y migraciones</w:t>
      </w:r>
    </w:p>
    <w:p>
      <w:r>
        <w:t xml:space="preserve">Conserva </w:t>
      </w:r>
      <w:r>
        <w:rPr>
          <w:rFonts w:ascii="Liberation Mono" w:hAnsi="Liberation Mono"/>
          <w:color w:val="001030"/>
          <w:sz w:val="18"/>
        </w:rPr>
        <w:t>User</w:t>
      </w:r>
      <w:r>
        <w:t xml:space="preserve">, </w:t>
      </w:r>
      <w:r>
        <w:rPr>
          <w:rFonts w:ascii="Liberation Mono" w:hAnsi="Liberation Mono"/>
          <w:color w:val="001030"/>
          <w:sz w:val="18"/>
        </w:rPr>
        <w:t>Session</w:t>
      </w:r>
      <w:r>
        <w:t xml:space="preserve">, </w:t>
      </w:r>
      <w:r>
        <w:rPr>
          <w:rFonts w:ascii="Liberation Mono" w:hAnsi="Liberation Mono"/>
          <w:color w:val="001030"/>
          <w:sz w:val="18"/>
        </w:rPr>
        <w:t>Organization</w:t>
      </w:r>
      <w:r>
        <w:t xml:space="preserve">, </w:t>
      </w:r>
      <w:r>
        <w:rPr>
          <w:rFonts w:ascii="Liberation Mono" w:hAnsi="Liberation Mono"/>
          <w:color w:val="001030"/>
          <w:sz w:val="18"/>
        </w:rPr>
        <w:t>Membership</w:t>
      </w:r>
      <w:r>
        <w:t xml:space="preserve">, </w:t>
      </w:r>
      <w:r>
        <w:rPr>
          <w:rFonts w:ascii="Liberation Mono" w:hAnsi="Liberation Mono"/>
          <w:color w:val="001030"/>
          <w:sz w:val="18"/>
        </w:rPr>
        <w:t>ServiceType</w:t>
      </w:r>
      <w:r>
        <w:t xml:space="preserve">, </w:t>
      </w:r>
      <w:r>
        <w:rPr>
          <w:rFonts w:ascii="Liberation Mono" w:hAnsi="Liberation Mono"/>
          <w:color w:val="001030"/>
          <w:sz w:val="18"/>
        </w:rPr>
        <w:t>VehicleClass</w:t>
      </w:r>
      <w:r>
        <w:t xml:space="preserve">, </w:t>
      </w:r>
      <w:r>
        <w:rPr>
          <w:rFonts w:ascii="Liberation Mono" w:hAnsi="Liberation Mono"/>
          <w:color w:val="001030"/>
          <w:sz w:val="18"/>
        </w:rPr>
        <w:t>Reservation</w:t>
      </w:r>
      <w:r>
        <w:t xml:space="preserve">, </w:t>
      </w:r>
      <w:r>
        <w:rPr>
          <w:rFonts w:ascii="Liberation Mono" w:hAnsi="Liberation Mono"/>
          <w:color w:val="001030"/>
          <w:sz w:val="18"/>
        </w:rPr>
        <w:t>RideSegment</w:t>
      </w:r>
      <w:r>
        <w:t xml:space="preserve">, </w:t>
      </w:r>
      <w:r>
        <w:rPr>
          <w:rFonts w:ascii="Liberation Mono" w:hAnsi="Liberation Mono"/>
          <w:color w:val="001030"/>
          <w:sz w:val="18"/>
        </w:rPr>
        <w:t>RatePlan</w:t>
      </w:r>
      <w:r>
        <w:t xml:space="preserve">, </w:t>
      </w:r>
      <w:r>
        <w:rPr>
          <w:rFonts w:ascii="Liberation Mono" w:hAnsi="Liberation Mono"/>
          <w:color w:val="001030"/>
          <w:sz w:val="18"/>
        </w:rPr>
        <w:t>PricingRule</w:t>
      </w:r>
      <w:r>
        <w:t xml:space="preserve">, </w:t>
      </w:r>
      <w:r>
        <w:rPr>
          <w:rFonts w:ascii="Liberation Mono" w:hAnsi="Liberation Mono"/>
          <w:color w:val="001030"/>
          <w:sz w:val="18"/>
        </w:rPr>
        <w:t>Quote</w:t>
      </w:r>
      <w:r>
        <w:t xml:space="preserve"> y </w:t>
      </w:r>
      <w:r>
        <w:rPr>
          <w:rFonts w:ascii="Liberation Mono" w:hAnsi="Liberation Mono"/>
          <w:color w:val="001030"/>
          <w:sz w:val="18"/>
        </w:rPr>
        <w:t>AuditLog</w:t>
      </w:r>
      <w:r>
        <w:t xml:space="preserve"> cuando existan, con sus relaciones e historial. No asumas que la presencia de tablas significa un módulo operativo terminado. [D02 parte III §13; esquema original]</w:t>
      </w:r>
    </w:p>
    <w:p>
      <w:r>
        <w:t>Agrega campos/tablas necesarios de forma aditiva y justificada: datos de pasajero, verificación, comprobantes, idempotencia ligada al payload o contactos, según la estrategia escogida. No guardes un campo en dos lugares sin identificar cuál manda. No reduzcas longitudes, cambies enums incompatiblemente ni conviertas relaciones obligatorias sin un plan de datos.</w:t>
      </w:r>
    </w:p>
    <w:p>
      <w:r>
        <w:t xml:space="preserve">Una migración debe especificar: razón, cambios, compatibilidad con filas existentes, backfill si hace falta, índices/restricciones, evaluación de SQL, base de prueba y recuperación. No uses </w:t>
      </w:r>
      <w:r>
        <w:rPr>
          <w:rFonts w:ascii="Liberation Mono" w:hAnsi="Liberation Mono"/>
          <w:color w:val="001030"/>
          <w:sz w:val="18"/>
        </w:rPr>
        <w:t>DROP</w:t>
      </w:r>
      <w:r>
        <w:t xml:space="preserve">, </w:t>
      </w:r>
      <w:r>
        <w:rPr>
          <w:rFonts w:ascii="Liberation Mono" w:hAnsi="Liberation Mono"/>
          <w:color w:val="001030"/>
          <w:sz w:val="18"/>
        </w:rPr>
        <w:t>TRUNCATE</w:t>
      </w:r>
      <w:r>
        <w:t xml:space="preserve">, </w:t>
      </w:r>
      <w:r>
        <w:rPr>
          <w:rFonts w:ascii="Liberation Mono" w:hAnsi="Liberation Mono"/>
          <w:color w:val="001030"/>
          <w:sz w:val="18"/>
        </w:rPr>
        <w:t>prisma migrate reset</w:t>
      </w:r>
      <w:r>
        <w:t xml:space="preserve"> o </w:t>
      </w:r>
      <w:r>
        <w:rPr>
          <w:rFonts w:ascii="Liberation Mono" w:hAnsi="Liberation Mono"/>
          <w:color w:val="001030"/>
          <w:sz w:val="18"/>
        </w:rPr>
        <w:t>db push --force-reset</w:t>
      </w:r>
      <w:r>
        <w:t xml:space="preserve"> para resolver un problema visual. No ejecutar seeds ficticios contra una base real.</w:t>
      </w:r>
    </w:p>
    <w:p>
      <w:r>
        <w:t xml:space="preserve">Comprueba que </w:t>
      </w:r>
      <w:r>
        <w:rPr>
          <w:rFonts w:ascii="Liberation Mono" w:hAnsi="Liberation Mono"/>
          <w:color w:val="001030"/>
          <w:sz w:val="18"/>
        </w:rPr>
        <w:t>DATABASE_URL</w:t>
      </w:r>
      <w:r>
        <w:t xml:space="preserve">, </w:t>
      </w:r>
      <w:r>
        <w:rPr>
          <w:rFonts w:ascii="Liberation Mono" w:hAnsi="Liberation Mono"/>
          <w:color w:val="001030"/>
          <w:sz w:val="18"/>
        </w:rPr>
        <w:t>DATABASE_*</w:t>
      </w:r>
      <w:r>
        <w:t xml:space="preserve"> y la configuración de tests apuntan al mismo destino cuando lo deban hacer. La auditoría señaló que </w:t>
      </w:r>
      <w:r>
        <w:rPr>
          <w:rFonts w:ascii="Liberation Mono" w:hAnsi="Liberation Mono"/>
          <w:color w:val="001030"/>
          <w:sz w:val="18"/>
        </w:rPr>
        <w:t>TEST_DATABASE_URL</w:t>
      </w:r>
      <w:r>
        <w:t xml:space="preserve"> habilitaba pruebas mientras el cliente leía otras variables; corrige esa ambigüedad antes de correrlas. Registra host y nombre de base efectivos sin contraseña.</w:t>
      </w:r>
    </w:p>
    <w:p>
      <w:r>
        <w:t>Usa una base MySQL de pruebas con credenciales separadas y no la de CHARIS ni una de clientes. La aplicación debe fallar claramente si la configuración es inconsistente. Un rollback de Git no revierte datos ni migraciones; documenta la recuperación de cada capa por separado.</w:t>
      </w:r>
    </w:p>
    <w:p>
      <w:pPr>
        <w:pStyle w:val="Heading2"/>
      </w:pPr>
      <w:r>
        <w:t>23.4 Repositorios de revisión</w:t>
      </w:r>
    </w:p>
    <w:p>
      <w:r>
        <w:t>Un adaptador de archivo o memoria puede facilitar revisión local, pero no reemplaza la prueba MySQL solicitada para cerrar integración. Aísla sus archivos, evita múltiples procesos simultáneos no soportados y no incluyas sus datos en Git. Sin usuarios demo precargados en la experiencia real. Los fixtures de pruebas permanecen aislados y etiquetados.</w:t>
      </w:r>
    </w:p>
    <w:p>
      <w:r>
        <w:t>Las restricciones de servidor importantes deben probarse tanto en el adaptador de revisión como en MySQL. No aceptes que uno valide ownership y el otro permita leer por organización sin distinguir roles. No declares que un test de archivo verifica transacciones o carreras en MySQL.</w:t>
      </w:r>
    </w:p>
    <w:p>
      <w:pPr>
        <w:pStyle w:val="Heading1"/>
      </w:pPr>
      <w:r>
        <w:t>24. Configuración, seguridad y separación de entornos</w:t>
      </w:r>
    </w:p>
    <w:p>
      <w:pPr>
        <w:pStyle w:val="Heading2"/>
      </w:pPr>
      <w:r>
        <w:t>24.1 Configuración reproducible</w:t>
      </w:r>
    </w:p>
    <w:p>
      <w:r>
        <w:t xml:space="preserve">Prepara ejemplos sin secretos para web, API, generación/migraciones y pruebas. Corrige la discrepancia del README que pedía </w:t>
      </w:r>
      <w:r>
        <w:rPr>
          <w:rFonts w:ascii="Liberation Mono" w:hAnsi="Liberation Mono"/>
          <w:color w:val="001030"/>
          <w:sz w:val="18"/>
        </w:rPr>
        <w:t>.env.example</w:t>
      </w:r>
      <w:r>
        <w:t xml:space="preserve"> aunque faltaba o quedaba excluido por </w:t>
      </w:r>
      <w:r>
        <w:rPr>
          <w:rFonts w:ascii="Liberation Mono" w:hAnsi="Liberation Mono"/>
          <w:color w:val="001030"/>
          <w:sz w:val="18"/>
        </w:rPr>
        <w:t>.env*</w:t>
      </w:r>
      <w:r>
        <w:t xml:space="preserve">. Ajusta la excepción de </w:t>
      </w:r>
      <w:r>
        <w:rPr>
          <w:rFonts w:ascii="Liberation Mono" w:hAnsi="Liberation Mono"/>
          <w:color w:val="001030"/>
          <w:sz w:val="18"/>
        </w:rPr>
        <w:t>.gitignore</w:t>
      </w:r>
      <w:r>
        <w:t xml:space="preserve"> de forma específica, sin permitir todos los archivos </w:t>
      </w:r>
      <w:r>
        <w:rPr>
          <w:rFonts w:ascii="Liberation Mono" w:hAnsi="Liberation Mono"/>
          <w:color w:val="001030"/>
          <w:sz w:val="18"/>
        </w:rPr>
        <w:t>.env</w:t>
      </w:r>
      <w:r>
        <w:t>.</w:t>
      </w:r>
    </w:p>
    <w:p>
      <w:r>
        <w:t xml:space="preserve">Distingue desarrollo, pruebas, revisión y producción. Si </w:t>
      </w:r>
      <w:r>
        <w:rPr>
          <w:rFonts w:ascii="Liberation Mono" w:hAnsi="Liberation Mono"/>
          <w:color w:val="001030"/>
          <w:sz w:val="18"/>
        </w:rPr>
        <w:t>DATA_MODE=demo</w:t>
      </w:r>
      <w:r>
        <w:t xml:space="preserve"> puede combinarse con producción, recházalo al arrancar. Un flag que elimina la palabra “prototype” no puede convertir métricas ficticias en datos reales. La falta de un endpoint de runtime no debe tratarse como permiso para mostrar herramientas locales en un sitio público.</w:t>
      </w:r>
    </w:p>
    <w:p>
      <w:r>
        <w:t>El candidato mantiene v2 bloqueada para producción; no quites esa puerta únicamente para que el build o una demostración parezcan completos. Registra qué verificaciones se necesitan para retirarla después. Producción requiere host/origen/cookies/configuración reales, no fallback a localhost del navegador.</w:t>
      </w:r>
    </w:p>
    <w:p>
      <w:pPr>
        <w:pStyle w:val="Heading2"/>
      </w:pPr>
      <w:r>
        <w:t>24.2 Controles de seguridad de la implementación</w:t>
      </w:r>
    </w:p>
    <w:p>
      <w:r>
        <w:t>Reutiliza sesiones opacas, cookies HttpOnly, expiración, revocación, CSRF y rate limiting cuando estén presentes. Añade pruebas del ciclo completo y no solo del happy path. Configura HTTPS/cookies seguras en producción y orígenes permitidos; no habilites credenciales con una política CORS indiscriminada.</w:t>
      </w:r>
    </w:p>
    <w:p>
      <w:r>
        <w:t>Comprueba autorización por recurso, organización y acción en cada endpoint. El guard React es solo una mejora de UX. Maneja reautenticación para operaciones sensibles, sesiones vencidas y cambios de roles. Evita enumeración innecesaria de cuentas, respuestas con secretos y logs excesivos. [D02 parte III §11–13; T03–T04]</w:t>
      </w:r>
    </w:p>
    <w:p>
      <w:r>
        <w:t>Protege reintentos de login/alta/reset/contacto y envío de solicitudes contra abuso. No inventes un captcha o proveedor sin integración real. Usa errores claros y límites técnicos justificados, sin impedir gestores de contraseña ni autenticación accesible.</w:t>
      </w:r>
    </w:p>
    <w:p>
      <w:r>
        <w:t>No introduzcas secretos en el bundle, archivos públicos, ejemplos, capturas, prompts de pruebas o historial Git. La información personal no viaja a analítica. Las notas se renderizan como texto, no HTML ejecutable. Los adjuntos no son parte obligatoria del primer alcance; si se habilitan, requieren límites, validación, almacenamiento y acceso seguro.</w:t>
      </w:r>
    </w:p>
    <w:p>
      <w:pPr>
        <w:pStyle w:val="Heading2"/>
      </w:pPr>
      <w:r>
        <w:t>24.3 Privacidad de los materiales de referencia</w:t>
      </w:r>
    </w:p>
    <w:p>
      <w:r>
        <w:t>El repositorio observado es público. No subas automáticamente los Word iniciales, chats, capturas de Blacklane, ZIP del kit, buzón o datos de revisión a esa rama. Usa las referencias en una carpeta local excluida y publica solo código, activos propios autorizados, pruebas sin datos reales y un resumen técnico apropiado.</w:t>
      </w:r>
    </w:p>
    <w:p>
      <w:r>
        <w:t xml:space="preserve">No uses </w:t>
      </w:r>
      <w:r>
        <w:rPr>
          <w:rFonts w:ascii="Liberation Mono" w:hAnsi="Liberation Mono"/>
          <w:color w:val="001030"/>
          <w:sz w:val="18"/>
        </w:rPr>
        <w:t>git add -A</w:t>
      </w:r>
      <w:r>
        <w:t xml:space="preserve"> sin revisar archivos. Comprobar </w:t>
      </w:r>
      <w:r>
        <w:rPr>
          <w:rFonts w:ascii="Liberation Mono" w:hAnsi="Liberation Mono"/>
          <w:color w:val="001030"/>
          <w:sz w:val="18"/>
        </w:rPr>
        <w:t>.gitignore</w:t>
      </w:r>
      <w:r>
        <w:t xml:space="preserve"> no basta si un archivo ya está rastreado. Antes del commit inspecciona el diff y la lista exacta de archivos; verifica que no hay documentos privados ni claves. El encargo de usar una imagen como referencia no concede por sí solo su publicación dentro de </w:t>
      </w:r>
      <w:r>
        <w:rPr>
          <w:rFonts w:ascii="Liberation Mono" w:hAnsi="Liberation Mono"/>
          <w:color w:val="001030"/>
          <w:sz w:val="18"/>
        </w:rPr>
        <w:t>public/</w:t>
      </w:r>
      <w:r>
        <w:t>.</w:t>
      </w:r>
    </w:p>
    <w:p>
      <w:pPr>
        <w:pStyle w:val="Heading1"/>
      </w:pPr>
      <w:r>
        <w:t>25. Accesibilidad, responsive y estabilidad inicial</w:t>
      </w:r>
    </w:p>
    <w:p>
      <w:pPr>
        <w:pStyle w:val="Heading2"/>
      </w:pPr>
      <w:r>
        <w:t>25.1 Criterios de aceptación visual</w:t>
      </w:r>
    </w:p>
    <w:p>
      <w:r>
        <w:t>Objetivo documentado: WCAG 2.2 AA, con revisión automática y manual, no una certificación basada en una herramienta. La referencia de contraste usa 4.5:1 para texto normal y 3:1 para texto grande; los logos tienen una excepción, que no se extiende a etiquetas o instrucciones ordinarias. [D01 §06; D03 §26; T05]</w:t>
      </w:r>
    </w:p>
    <w:p>
      <w:r>
        <w:t>Comprueba foco visible en superficies claras, azules y marino; nombre accesible de controles; selección semántica; navegación por teclado; dialog/combobox; errores asociados; estados anunciados; zoom y reflow. No pruebes solo el color base: hover, disabled, seleccionado, validación y overlays cambian la lectura.</w:t>
      </w:r>
    </w:p>
    <w:p>
      <w:r>
        <w:t>La meta táctil interna propuesta de 44–48 px no es una reinterpretación de todos los mínimos del estándar. Úsala para controles cómodos cuando corresponda, sin afirmar cumplimiento global por medir un botón. Revisa botones icon-only, cerrar menú, selector de idioma y radios de categoría.</w:t>
      </w:r>
    </w:p>
    <w:p>
      <w:pPr>
        <w:pStyle w:val="Heading2"/>
      </w:pPr>
      <w:r>
        <w:t>25.2 Matriz de pantallas</w:t>
      </w:r>
    </w:p>
    <w:p>
      <w:r>
        <w:t>Prueba al menos 320, 360, 390, 430, 768, 1024, 1440 y 1920 px de ancho; incluye 390×844, 768×1024, 1024×768, 1440×900 y 1920×1080, además de alturas reducidas y orientación horizontal. Son objetivos de prueba consolidados, no breakpoints obligatorios de CSS. [D02 parte III §15; D03 §14]</w:t>
      </w:r>
    </w:p>
    <w:p>
      <w:r>
        <w:t>Verifica menú, hero, las secciones completas, wizard, login, portal y operaciones. Abre teclado virtual cuando el entorno permita probarlo; revisa inputs nativos, autofill y mensajes largos en español. Ninguna tabla, foto, máscara o animación debe introducir desplazamiento horizontal accidental. Los datos críticos no se ocultan solo para encajar una tabla.</w:t>
      </w:r>
    </w:p>
    <w:p>
      <w:pPr>
        <w:pStyle w:val="Heading2"/>
      </w:pPr>
      <w:r>
        <w:t>25.3 Primer render y cambios de ruta</w:t>
      </w:r>
    </w:p>
    <w:p>
      <w:r>
        <w:t>Captura arranque en frío antes de hidratación, durante carga y después. El contenido no debe aparecer desordenado y luego saltar a otro diseño. Reserva tamaño de media y marca; organiza carga de CSS/fuentes; usa tema inicial coherente para la cabecera de Home. No dependas de JavaScript para hacer visible cada sección.</w:t>
      </w:r>
    </w:p>
    <w:p>
      <w:r>
        <w:t>Prueba carga lenta y fallo de imagen, fuente y API. La Home no debe quedar vacía porque una sesión o catálogo tardó. Un layout nuevo no debe rematar en pantallas antiguas doradas al entrar al login. Confirma continuidad visual y ausencia de pérdida de estado al navegar.</w:t>
      </w:r>
    </w:p>
    <w:p>
      <w:pPr>
        <w:pStyle w:val="Heading1"/>
      </w:pPr>
      <w:r>
        <w:t>26. Rendimiento, SEO y contenido verificable</w:t>
      </w:r>
    </w:p>
    <w:p>
      <w:r>
        <w:t xml:space="preserve">Conserva decisiones útiles de prioridad de imagen, </w:t>
      </w:r>
      <w:r>
        <w:rPr>
          <w:rFonts w:ascii="Liberation Mono" w:hAnsi="Liberation Mono"/>
          <w:color w:val="001030"/>
          <w:sz w:val="18"/>
        </w:rPr>
        <w:t>srcset</w:t>
      </w:r>
      <w:r>
        <w:t xml:space="preserve">, tamaños y carga diferida. Evita video pesado en el primer render sin una justificación específica. Anima preferentemente transform/opacity, evita recalcular layout por frame y retira </w:t>
      </w:r>
      <w:r>
        <w:rPr>
          <w:rFonts w:ascii="Liberation Mono" w:hAnsi="Liberation Mono"/>
          <w:color w:val="001030"/>
          <w:sz w:val="18"/>
        </w:rPr>
        <w:t>will-change</w:t>
      </w:r>
      <w:r>
        <w:t xml:space="preserve"> permanente donde no haga falta. No introduzcas otro motor de scroll o librería de UI completa para resolver una tarjeta.</w:t>
      </w:r>
    </w:p>
    <w:p>
      <w:r>
        <w:t>D03 establece como objetivos de experiencia LCP ≤2.5 s, INP ≤200 ms y CLS ≤0.1 al percentil 75. Mantén esos valores como metas del proyecto, no resultados ya obtenidos ni mediciones de campo que pueda producir una captura local. Registra entorno y diferencia laboratorio/tráfico real. [D03 §27]</w:t>
      </w:r>
    </w:p>
    <w:p>
      <w:r>
        <w:t>Metadatos de ASCENTA, título/descripcion por página útil, favicon apropiado, estructura semántica, enlaces rastreables y estado correcto de errores. Canonical, sitemap, robots y hreflang según URLs realmente implementadas. Previews, portales y páginas con datos personales no deben indexarse por una configuración olvidada.</w:t>
      </w:r>
    </w:p>
    <w:p>
      <w:r>
        <w:t>No generes estrellas, testimonios, precios, cobertura mundial o datos estructurados de servicios inexistentes. No hagas SEO con docenas de páginas de ciudades cambiando solo el nombre. Analítica, si se incorpora, mide eventos agregados como inicio/avance/error/solicitud guardada, sin nombres, correos, teléfonos, direcciones o notas.</w:t>
      </w:r>
    </w:p>
    <w:p>
      <w:pPr>
        <w:pStyle w:val="Heading1"/>
      </w:pPr>
      <w:r>
        <w:t>27. Mapa de intervención por archivo</w:t>
      </w:r>
    </w:p>
    <w:p>
      <w:r>
        <w:t xml:space="preserve">Los paths de </w:t>
      </w:r>
      <w:r>
        <w:rPr>
          <w:rFonts w:ascii="Liberation Mono" w:hAnsi="Liberation Mono"/>
          <w:color w:val="001030"/>
          <w:sz w:val="18"/>
        </w:rPr>
        <w:t>app/</w:t>
      </w:r>
      <w:r>
        <w:t xml:space="preserve">, </w:t>
      </w:r>
      <w:r>
        <w:rPr>
          <w:rFonts w:ascii="Liberation Mono" w:hAnsi="Liberation Mono"/>
          <w:color w:val="001030"/>
          <w:sz w:val="18"/>
        </w:rPr>
        <w:t>components/</w:t>
      </w:r>
      <w:r>
        <w:t xml:space="preserve"> y </w:t>
      </w:r>
      <w:r>
        <w:rPr>
          <w:rFonts w:ascii="Liberation Mono" w:hAnsi="Liberation Mono"/>
          <w:color w:val="001030"/>
          <w:sz w:val="18"/>
        </w:rPr>
        <w:t>lib/</w:t>
      </w:r>
      <w:r>
        <w:t xml:space="preserve"> pertenecen a </w:t>
      </w:r>
      <w:r>
        <w:rPr>
          <w:rFonts w:ascii="Liberation Mono" w:hAnsi="Liberation Mono"/>
          <w:color w:val="001030"/>
          <w:sz w:val="18"/>
        </w:rPr>
        <w:t>apps/web/</w:t>
      </w:r>
      <w:r>
        <w:t>. Los nombres nuevos son orientativos si ya existe una responsabilidad equivalente. Leer cada archivo y sus importaciones antes de reemplazarlo. [D02 parte III §17; C02/C03]</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3053"/>
        <w:gridCol w:w="7056"/>
      </w:tblGrid>
      <w:tr>
        <w:trPr>
          <w:cantSplit/>
          <w:tblHeader/>
        </w:trPr>
        <w:tc>
          <w:tcPr>
            <w:tcW w:type="dxa" w:w="3053"/>
            <w:vAlign w:val="center"/>
            <w:shd w:fill="001030"/>
          </w:tcPr>
          <w:p>
            <w:pPr>
              <w:pStyle w:val="TableBody"/>
            </w:pPr>
            <w:r>
              <w:rPr>
                <w:b/>
                <w:color w:val="FFFFFF"/>
                <w:sz w:val="18"/>
              </w:rPr>
              <w:t>Archivo/conjunto</w:t>
            </w:r>
          </w:p>
        </w:tc>
        <w:tc>
          <w:tcPr>
            <w:tcW w:type="dxa" w:w="7056"/>
            <w:vAlign w:val="center"/>
            <w:shd w:fill="001030"/>
          </w:tcPr>
          <w:p>
            <w:pPr>
              <w:pStyle w:val="TableBody"/>
            </w:pPr>
            <w:r>
              <w:rPr>
                <w:b/>
                <w:color w:val="FFFFFF"/>
                <w:sz w:val="18"/>
              </w:rPr>
              <w:t>Trabajo esperado y protección</w:t>
            </w:r>
          </w:p>
        </w:tc>
      </w:tr>
      <w:tr>
        <w:trPr>
          <w:cantSplit/>
        </w:trPr>
        <w:tc>
          <w:tcPr>
            <w:tcW w:type="dxa" w:w="3053"/>
            <w:vAlign w:val="center"/>
            <w:shd w:fill="F7F9FD"/>
          </w:tcPr>
          <w:p>
            <w:pPr>
              <w:pStyle w:val="TableBody"/>
            </w:pPr>
            <w:r>
              <w:rPr>
                <w:rFonts w:ascii="Liberation Mono" w:hAnsi="Liberation Mono"/>
                <w:color w:val="001030"/>
                <w:sz w:val="18"/>
              </w:rPr>
              <w:t>README.md</w:t>
            </w:r>
          </w:p>
        </w:tc>
        <w:tc>
          <w:tcPr>
            <w:tcW w:type="dxa" w:w="7056"/>
            <w:vAlign w:val="center"/>
            <w:shd w:fill="F7F9FD"/>
          </w:tcPr>
          <w:p>
            <w:pPr>
              <w:pStyle w:val="TableBody"/>
            </w:pPr>
            <w:r>
              <w:rPr>
                <w:sz w:val="18"/>
              </w:rPr>
              <w:t>Arranque nativo comprobado, variables y alcance real; no instrucciones portátiles como sustituto del workspace.</w:t>
            </w:r>
          </w:p>
        </w:tc>
      </w:tr>
      <w:tr>
        <w:trPr>
          <w:cantSplit/>
        </w:trPr>
        <w:tc>
          <w:tcPr>
            <w:tcW w:type="dxa" w:w="3053"/>
            <w:vAlign w:val="center"/>
            <w:shd w:fill="FFFFFF"/>
          </w:tcPr>
          <w:p>
            <w:pPr>
              <w:pStyle w:val="TableBody"/>
            </w:pPr>
            <w:r>
              <w:rPr>
                <w:rFonts w:ascii="Liberation Mono" w:hAnsi="Liberation Mono"/>
                <w:color w:val="001030"/>
                <w:sz w:val="18"/>
              </w:rPr>
              <w:t>DESIGN_SYSTEM.md</w:t>
            </w:r>
          </w:p>
        </w:tc>
        <w:tc>
          <w:tcPr>
            <w:tcW w:type="dxa" w:w="7056"/>
            <w:vAlign w:val="center"/>
            <w:shd w:fill="FFFFFF"/>
          </w:tcPr>
          <w:p>
            <w:pPr>
              <w:pStyle w:val="TableBody"/>
            </w:pPr>
            <w:r>
              <w:rPr>
                <w:sz w:val="18"/>
              </w:rPr>
              <w:t>Identidad vigente, tokens y estados; marcar la paleta anterior como histórica.</w:t>
            </w:r>
          </w:p>
        </w:tc>
      </w:tr>
      <w:tr>
        <w:trPr>
          <w:cantSplit/>
        </w:trPr>
        <w:tc>
          <w:tcPr>
            <w:tcW w:type="dxa" w:w="3053"/>
            <w:vAlign w:val="center"/>
            <w:shd w:fill="F7F9FD"/>
          </w:tcPr>
          <w:p>
            <w:pPr>
              <w:pStyle w:val="TableBody"/>
            </w:pPr>
            <w:r>
              <w:rPr>
                <w:rFonts w:ascii="Liberation Mono" w:hAnsi="Liberation Mono"/>
                <w:color w:val="001030"/>
                <w:sz w:val="18"/>
              </w:rPr>
              <w:t>DECISIONS.md</w:t>
            </w:r>
            <w:r>
              <w:rPr>
                <w:sz w:val="18"/>
              </w:rPr>
              <w:t xml:space="preserve">, </w:t>
            </w:r>
            <w:r>
              <w:rPr>
                <w:rFonts w:ascii="Liberation Mono" w:hAnsi="Liberation Mono"/>
                <w:color w:val="001030"/>
                <w:sz w:val="18"/>
              </w:rPr>
              <w:t>PROJECT_BRIEF.md</w:t>
            </w:r>
          </w:p>
        </w:tc>
        <w:tc>
          <w:tcPr>
            <w:tcW w:type="dxa" w:w="7056"/>
            <w:vAlign w:val="center"/>
            <w:shd w:fill="F7F9FD"/>
          </w:tcPr>
          <w:p>
            <w:pPr>
              <w:pStyle w:val="TableBody"/>
            </w:pPr>
            <w:r>
              <w:rPr>
                <w:sz w:val="18"/>
              </w:rPr>
              <w:t>Registrar cambios explícitos y no borrar contexto anterior por conveniencia.</w:t>
            </w:r>
          </w:p>
        </w:tc>
      </w:tr>
      <w:tr>
        <w:trPr>
          <w:cantSplit/>
        </w:trPr>
        <w:tc>
          <w:tcPr>
            <w:tcW w:type="dxa" w:w="3053"/>
            <w:vAlign w:val="center"/>
            <w:shd w:fill="FFFFFF"/>
          </w:tcPr>
          <w:p>
            <w:pPr>
              <w:pStyle w:val="TableBody"/>
            </w:pPr>
            <w:r>
              <w:rPr>
                <w:rFonts w:ascii="Liberation Mono" w:hAnsi="Liberation Mono"/>
                <w:color w:val="001030"/>
                <w:sz w:val="18"/>
              </w:rPr>
              <w:t>package.json</w:t>
            </w:r>
            <w:r>
              <w:rPr>
                <w:sz w:val="18"/>
              </w:rPr>
              <w:t>, manifiestos y lockfile</w:t>
            </w:r>
          </w:p>
        </w:tc>
        <w:tc>
          <w:tcPr>
            <w:tcW w:type="dxa" w:w="7056"/>
            <w:vAlign w:val="center"/>
            <w:shd w:fill="FFFFFF"/>
          </w:tcPr>
          <w:p>
            <w:pPr>
              <w:pStyle w:val="TableBody"/>
            </w:pPr>
            <w:r>
              <w:rPr>
                <w:sz w:val="18"/>
              </w:rPr>
              <w:t>Conservar versiones; solo cambios necesarios justificados. No regenerar lockfile para eludir conflictos.</w:t>
            </w:r>
          </w:p>
        </w:tc>
      </w:tr>
      <w:tr>
        <w:trPr>
          <w:cantSplit/>
        </w:trPr>
        <w:tc>
          <w:tcPr>
            <w:tcW w:type="dxa" w:w="3053"/>
            <w:vAlign w:val="center"/>
            <w:shd w:fill="F7F9FD"/>
          </w:tcPr>
          <w:p>
            <w:pPr>
              <w:pStyle w:val="TableBody"/>
            </w:pPr>
            <w:r>
              <w:rPr>
                <w:rFonts w:ascii="Liberation Mono" w:hAnsi="Liberation Mono"/>
                <w:color w:val="001030"/>
                <w:sz w:val="18"/>
              </w:rPr>
              <w:t>app/globals.css</w:t>
            </w:r>
          </w:p>
        </w:tc>
        <w:tc>
          <w:tcPr>
            <w:tcW w:type="dxa" w:w="7056"/>
            <w:vAlign w:val="center"/>
            <w:shd w:fill="F7F9FD"/>
          </w:tcPr>
          <w:p>
            <w:pPr>
              <w:pStyle w:val="TableBody"/>
            </w:pPr>
            <w:r>
              <w:rPr>
                <w:sz w:val="18"/>
              </w:rPr>
              <w:t>Tokens y estilos comunes, conflicto con CSS candidato, base visible y movimiento reducido.</w:t>
            </w:r>
          </w:p>
        </w:tc>
      </w:tr>
      <w:tr>
        <w:trPr>
          <w:cantSplit/>
        </w:trPr>
        <w:tc>
          <w:tcPr>
            <w:tcW w:type="dxa" w:w="3053"/>
            <w:vAlign w:val="center"/>
            <w:shd w:fill="FFFFFF"/>
          </w:tcPr>
          <w:p>
            <w:pPr>
              <w:pStyle w:val="TableBody"/>
            </w:pPr>
            <w:r>
              <w:rPr>
                <w:rFonts w:ascii="Liberation Mono" w:hAnsi="Liberation Mono"/>
                <w:color w:val="001030"/>
                <w:sz w:val="18"/>
              </w:rPr>
              <w:t>styles/ascenta.css</w:t>
            </w:r>
            <w:r>
              <w:rPr>
                <w:sz w:val="18"/>
              </w:rPr>
              <w:t xml:space="preserve"> si se usa</w:t>
            </w:r>
          </w:p>
        </w:tc>
        <w:tc>
          <w:tcPr>
            <w:tcW w:type="dxa" w:w="7056"/>
            <w:vAlign w:val="center"/>
            <w:shd w:fill="FFFFFF"/>
          </w:tcPr>
          <w:p>
            <w:pPr>
              <w:pStyle w:val="TableBody"/>
            </w:pPr>
            <w:r>
              <w:rPr>
                <w:sz w:val="18"/>
              </w:rPr>
              <w:t>Migrar/integrar la referencia sin dos sistemas globales contradictorios; eliminar literales heredados por función.</w:t>
            </w:r>
          </w:p>
        </w:tc>
      </w:tr>
      <w:tr>
        <w:trPr>
          <w:cantSplit/>
        </w:trPr>
        <w:tc>
          <w:tcPr>
            <w:tcW w:type="dxa" w:w="3053"/>
            <w:vAlign w:val="center"/>
            <w:shd w:fill="F7F9FD"/>
          </w:tcPr>
          <w:p>
            <w:pPr>
              <w:pStyle w:val="TableBody"/>
            </w:pPr>
            <w:r>
              <w:rPr>
                <w:rFonts w:ascii="Liberation Mono" w:hAnsi="Liberation Mono"/>
                <w:color w:val="001030"/>
                <w:sz w:val="18"/>
              </w:rPr>
              <w:t>app/layout.tsx</w:t>
            </w:r>
          </w:p>
        </w:tc>
        <w:tc>
          <w:tcPr>
            <w:tcW w:type="dxa" w:w="7056"/>
            <w:vAlign w:val="center"/>
            <w:shd w:fill="F7F9FD"/>
          </w:tcPr>
          <w:p>
            <w:pPr>
              <w:pStyle w:val="TableBody"/>
            </w:pPr>
            <w:r>
              <w:rPr>
                <w:sz w:val="18"/>
              </w:rPr>
              <w:t>Metadatos, estilos, fuentes provisionales y proveedor persistente fuera de transiciones que remounten.</w:t>
            </w:r>
          </w:p>
        </w:tc>
      </w:tr>
      <w:tr>
        <w:trPr>
          <w:cantSplit/>
        </w:trPr>
        <w:tc>
          <w:tcPr>
            <w:tcW w:type="dxa" w:w="3053"/>
            <w:vAlign w:val="center"/>
            <w:shd w:fill="FFFFFF"/>
          </w:tcPr>
          <w:p>
            <w:pPr>
              <w:pStyle w:val="TableBody"/>
            </w:pPr>
            <w:r>
              <w:rPr>
                <w:sz w:val="18"/>
              </w:rPr>
              <w:t xml:space="preserve">Componente </w:t>
            </w:r>
            <w:r>
              <w:rPr>
                <w:rFonts w:ascii="Liberation Mono" w:hAnsi="Liberation Mono"/>
                <w:color w:val="001030"/>
                <w:sz w:val="18"/>
              </w:rPr>
              <w:t>Brand</w:t>
            </w:r>
          </w:p>
        </w:tc>
        <w:tc>
          <w:tcPr>
            <w:tcW w:type="dxa" w:w="7056"/>
            <w:vAlign w:val="center"/>
            <w:shd w:fill="FFFFFF"/>
          </w:tcPr>
          <w:p>
            <w:pPr>
              <w:pStyle w:val="TableBody"/>
            </w:pPr>
            <w:r>
              <w:rPr>
                <w:sz w:val="18"/>
              </w:rPr>
              <w:t>Arte correcto, variantes realmente disponibles, dimensiones y alt adecuados.</w:t>
            </w:r>
          </w:p>
        </w:tc>
      </w:tr>
      <w:tr>
        <w:trPr>
          <w:cantSplit/>
        </w:trPr>
        <w:tc>
          <w:tcPr>
            <w:tcW w:type="dxa" w:w="3053"/>
            <w:vAlign w:val="center"/>
            <w:shd w:fill="F7F9FD"/>
          </w:tcPr>
          <w:p>
            <w:pPr>
              <w:pStyle w:val="TableBody"/>
            </w:pPr>
            <w:r>
              <w:rPr>
                <w:rFonts w:ascii="Liberation Mono" w:hAnsi="Liberation Mono"/>
                <w:color w:val="001030"/>
                <w:sz w:val="18"/>
              </w:rPr>
              <w:t>components/site-header.tsx</w:t>
            </w:r>
          </w:p>
        </w:tc>
        <w:tc>
          <w:tcPr>
            <w:tcW w:type="dxa" w:w="7056"/>
            <w:vAlign w:val="center"/>
            <w:shd w:fill="F7F9FD"/>
          </w:tcPr>
          <w:p>
            <w:pPr>
              <w:pStyle w:val="TableBody"/>
            </w:pPr>
            <w:r>
              <w:rPr>
                <w:sz w:val="18"/>
              </w:rPr>
              <w:t>Navegación contextual y móvil, adquisición empresarial separada del portal.</w:t>
            </w:r>
          </w:p>
        </w:tc>
      </w:tr>
      <w:tr>
        <w:trPr>
          <w:cantSplit/>
        </w:trPr>
        <w:tc>
          <w:tcPr>
            <w:tcW w:type="dxa" w:w="3053"/>
            <w:vAlign w:val="center"/>
            <w:shd w:fill="FFFFFF"/>
          </w:tcPr>
          <w:p>
            <w:pPr>
              <w:pStyle w:val="TableBody"/>
            </w:pPr>
            <w:r>
              <w:rPr>
                <w:rFonts w:ascii="Liberation Mono" w:hAnsi="Liberation Mono"/>
                <w:color w:val="001030"/>
                <w:sz w:val="18"/>
              </w:rPr>
              <w:t>components/site-footer.tsx</w:t>
            </w:r>
          </w:p>
        </w:tc>
        <w:tc>
          <w:tcPr>
            <w:tcW w:type="dxa" w:w="7056"/>
            <w:vAlign w:val="center"/>
            <w:shd w:fill="FFFFFF"/>
          </w:tcPr>
          <w:p>
            <w:pPr>
              <w:pStyle w:val="TableBody"/>
            </w:pPr>
            <w:r>
              <w:rPr>
                <w:sz w:val="18"/>
              </w:rPr>
              <w:t>Marca, rutas verdaderas y mensajes correctos sobre solicitud.</w:t>
            </w:r>
          </w:p>
        </w:tc>
      </w:tr>
      <w:tr>
        <w:trPr>
          <w:cantSplit/>
        </w:trPr>
        <w:tc>
          <w:tcPr>
            <w:tcW w:type="dxa" w:w="3053"/>
            <w:vAlign w:val="center"/>
            <w:shd w:fill="F7F9FD"/>
          </w:tcPr>
          <w:p>
            <w:pPr>
              <w:pStyle w:val="TableBody"/>
            </w:pPr>
            <w:r>
              <w:rPr>
                <w:rFonts w:ascii="Liberation Mono" w:hAnsi="Liberation Mono"/>
                <w:color w:val="001030"/>
                <w:sz w:val="18"/>
              </w:rPr>
              <w:t>public/favicon.svg</w:t>
            </w:r>
            <w:r>
              <w:rPr>
                <w:sz w:val="18"/>
              </w:rPr>
              <w:t xml:space="preserve"> y activos de marca</w:t>
            </w:r>
          </w:p>
        </w:tc>
        <w:tc>
          <w:tcPr>
            <w:tcW w:type="dxa" w:w="7056"/>
            <w:vAlign w:val="center"/>
            <w:shd w:fill="F7F9FD"/>
          </w:tcPr>
          <w:p>
            <w:pPr>
              <w:pStyle w:val="TableBody"/>
            </w:pPr>
            <w:r>
              <w:rPr>
                <w:sz w:val="18"/>
              </w:rPr>
              <w:t>Sustituir la representación genérica solo con derivado fiel/aprobado; no capturas ajenas.</w:t>
            </w:r>
          </w:p>
        </w:tc>
      </w:tr>
      <w:tr>
        <w:trPr>
          <w:cantSplit/>
        </w:trPr>
        <w:tc>
          <w:tcPr>
            <w:tcW w:type="dxa" w:w="3053"/>
            <w:vAlign w:val="center"/>
            <w:shd w:fill="FFFFFF"/>
          </w:tcPr>
          <w:p>
            <w:pPr>
              <w:pStyle w:val="TableBody"/>
            </w:pPr>
            <w:r>
              <w:rPr>
                <w:rFonts w:ascii="Liberation Mono" w:hAnsi="Liberation Mono"/>
                <w:color w:val="001030"/>
                <w:sz w:val="18"/>
              </w:rPr>
              <w:t>app/page.tsx</w:t>
            </w:r>
          </w:p>
        </w:tc>
        <w:tc>
          <w:tcPr>
            <w:tcW w:type="dxa" w:w="7056"/>
            <w:vAlign w:val="center"/>
            <w:shd w:fill="FFFFFF"/>
          </w:tcPr>
          <w:p>
            <w:pPr>
              <w:pStyle w:val="TableBody"/>
            </w:pPr>
            <w:r>
              <w:rPr>
                <w:sz w:val="18"/>
              </w:rPr>
              <w:t>Home H01–H08 con referencias; sin métricas demo.</w:t>
            </w:r>
          </w:p>
        </w:tc>
      </w:tr>
      <w:tr>
        <w:trPr>
          <w:cantSplit/>
        </w:trPr>
        <w:tc>
          <w:tcPr>
            <w:tcW w:type="dxa" w:w="3053"/>
            <w:vAlign w:val="center"/>
            <w:shd w:fill="F7F9FD"/>
          </w:tcPr>
          <w:p>
            <w:pPr>
              <w:pStyle w:val="TableBody"/>
            </w:pPr>
            <w:r>
              <w:rPr>
                <w:rFonts w:ascii="Liberation Mono" w:hAnsi="Liberation Mono"/>
                <w:color w:val="001030"/>
                <w:sz w:val="18"/>
              </w:rPr>
              <w:t>components/booking-panel.tsx</w:t>
            </w:r>
          </w:p>
        </w:tc>
        <w:tc>
          <w:tcPr>
            <w:tcW w:type="dxa" w:w="7056"/>
            <w:vAlign w:val="center"/>
            <w:shd w:fill="F7F9FD"/>
          </w:tcPr>
          <w:p>
            <w:pPr>
              <w:pStyle w:val="TableBody"/>
            </w:pPr>
            <w:r>
              <w:rPr>
                <w:sz w:val="18"/>
              </w:rPr>
              <w:t>Borrador real, controles editables y continuidad.</w:t>
            </w:r>
          </w:p>
        </w:tc>
      </w:tr>
      <w:tr>
        <w:trPr>
          <w:cantSplit/>
        </w:trPr>
        <w:tc>
          <w:tcPr>
            <w:tcW w:type="dxa" w:w="3053"/>
            <w:vAlign w:val="center"/>
            <w:shd w:fill="FFFFFF"/>
          </w:tcPr>
          <w:p>
            <w:pPr>
              <w:pStyle w:val="TableBody"/>
            </w:pPr>
            <w:r>
              <w:rPr>
                <w:rFonts w:ascii="Liberation Mono" w:hAnsi="Liberation Mono"/>
                <w:color w:val="001030"/>
                <w:sz w:val="18"/>
              </w:rPr>
              <w:t>components/home-scroll-motion.tsx</w:t>
            </w:r>
          </w:p>
        </w:tc>
        <w:tc>
          <w:tcPr>
            <w:tcW w:type="dxa" w:w="7056"/>
            <w:vAlign w:val="center"/>
            <w:shd w:fill="FFFFFF"/>
          </w:tcPr>
          <w:p>
            <w:pPr>
              <w:pStyle w:val="TableBody"/>
            </w:pPr>
            <w:r>
              <w:rPr>
                <w:sz w:val="18"/>
              </w:rPr>
              <w:t>Reutilizar control eficiente; progreso local y limpieza.</w:t>
            </w:r>
          </w:p>
        </w:tc>
      </w:tr>
      <w:tr>
        <w:trPr>
          <w:cantSplit/>
        </w:trPr>
        <w:tc>
          <w:tcPr>
            <w:tcW w:type="dxa" w:w="3053"/>
            <w:vAlign w:val="center"/>
            <w:shd w:fill="F7F9FD"/>
          </w:tcPr>
          <w:p>
            <w:pPr>
              <w:pStyle w:val="TableBody"/>
            </w:pPr>
            <w:r>
              <w:rPr>
                <w:rFonts w:ascii="Liberation Mono" w:hAnsi="Liberation Mono"/>
                <w:color w:val="001030"/>
                <w:sz w:val="18"/>
              </w:rPr>
              <w:t>components/reveal.tsx</w:t>
            </w:r>
          </w:p>
        </w:tc>
        <w:tc>
          <w:tcPr>
            <w:tcW w:type="dxa" w:w="7056"/>
            <w:vAlign w:val="center"/>
            <w:shd w:fill="F7F9FD"/>
          </w:tcPr>
          <w:p>
            <w:pPr>
              <w:pStyle w:val="TableBody"/>
            </w:pPr>
            <w:r>
              <w:rPr>
                <w:sz w:val="18"/>
              </w:rPr>
              <w:t>Interfaz preservada, contenido inicialmente visible y delays correctos.</w:t>
            </w:r>
          </w:p>
        </w:tc>
      </w:tr>
      <w:tr>
        <w:trPr>
          <w:cantSplit/>
        </w:trPr>
        <w:tc>
          <w:tcPr>
            <w:tcW w:type="dxa" w:w="3053"/>
            <w:vAlign w:val="center"/>
            <w:shd w:fill="FFFFFF"/>
          </w:tcPr>
          <w:p>
            <w:pPr>
              <w:pStyle w:val="TableBody"/>
            </w:pPr>
            <w:r>
              <w:rPr>
                <w:sz w:val="18"/>
              </w:rPr>
              <w:t>Statement de scroll</w:t>
            </w:r>
          </w:p>
        </w:tc>
        <w:tc>
          <w:tcPr>
            <w:tcW w:type="dxa" w:w="7056"/>
            <w:vAlign w:val="center"/>
            <w:shd w:fill="FFFFFF"/>
          </w:tcPr>
          <w:p>
            <w:pPr>
              <w:pStyle w:val="TableBody"/>
            </w:pPr>
            <w:r>
              <w:rPr>
                <w:sz w:val="18"/>
              </w:rPr>
              <w:t>Escala/opacidad reversibles y alternativa reducida; no font-size por frame.</w:t>
            </w:r>
          </w:p>
        </w:tc>
      </w:tr>
      <w:tr>
        <w:trPr>
          <w:cantSplit/>
        </w:trPr>
        <w:tc>
          <w:tcPr>
            <w:tcW w:type="dxa" w:w="3053"/>
            <w:vAlign w:val="center"/>
            <w:shd w:fill="F7F9FD"/>
          </w:tcPr>
          <w:p>
            <w:pPr>
              <w:pStyle w:val="TableBody"/>
            </w:pPr>
            <w:r>
              <w:rPr>
                <w:rFonts w:ascii="Liberation Mono" w:hAnsi="Liberation Mono"/>
                <w:color w:val="001030"/>
                <w:sz w:val="18"/>
              </w:rPr>
              <w:t>components/home-experience.tsx</w:t>
            </w:r>
          </w:p>
        </w:tc>
        <w:tc>
          <w:tcPr>
            <w:tcW w:type="dxa" w:w="7056"/>
            <w:vAlign w:val="center"/>
            <w:shd w:fill="F7F9FD"/>
          </w:tcPr>
          <w:p>
            <w:pPr>
              <w:pStyle w:val="TableBody"/>
            </w:pPr>
            <w:r>
              <w:rPr>
                <w:sz w:val="18"/>
              </w:rPr>
              <w:t>Reutilizar mecanismos sin conservar longitud innecesaria.</w:t>
            </w:r>
          </w:p>
        </w:tc>
      </w:tr>
      <w:tr>
        <w:trPr>
          <w:cantSplit/>
        </w:trPr>
        <w:tc>
          <w:tcPr>
            <w:tcW w:type="dxa" w:w="3053"/>
            <w:vAlign w:val="center"/>
            <w:shd w:fill="FFFFFF"/>
          </w:tcPr>
          <w:p>
            <w:pPr>
              <w:pStyle w:val="TableBody"/>
            </w:pPr>
            <w:r>
              <w:rPr>
                <w:rFonts w:ascii="Liberation Mono" w:hAnsi="Liberation Mono"/>
                <w:color w:val="001030"/>
                <w:sz w:val="18"/>
              </w:rPr>
              <w:t>components/page-transition.tsx</w:t>
            </w:r>
          </w:p>
        </w:tc>
        <w:tc>
          <w:tcPr>
            <w:tcW w:type="dxa" w:w="7056"/>
            <w:vAlign w:val="center"/>
            <w:shd w:fill="FFFFFF"/>
          </w:tcPr>
          <w:p>
            <w:pPr>
              <w:pStyle w:val="TableBody"/>
            </w:pPr>
            <w:r>
              <w:rPr>
                <w:sz w:val="18"/>
              </w:rPr>
              <w:t>Movimiento de ruta sin destruir proveedor, borrador o foco.</w:t>
            </w:r>
          </w:p>
        </w:tc>
      </w:tr>
      <w:tr>
        <w:trPr>
          <w:cantSplit/>
        </w:trPr>
        <w:tc>
          <w:tcPr>
            <w:tcW w:type="dxa" w:w="3053"/>
            <w:vAlign w:val="center"/>
            <w:shd w:fill="F7F9FD"/>
          </w:tcPr>
          <w:p>
            <w:pPr>
              <w:pStyle w:val="TableBody"/>
            </w:pPr>
            <w:r>
              <w:rPr>
                <w:rFonts w:ascii="Liberation Mono" w:hAnsi="Liberation Mono"/>
                <w:color w:val="001030"/>
                <w:sz w:val="18"/>
              </w:rPr>
              <w:t>app/services/page.tsx</w:t>
            </w:r>
          </w:p>
        </w:tc>
        <w:tc>
          <w:tcPr>
            <w:tcW w:type="dxa" w:w="7056"/>
            <w:vAlign w:val="center"/>
            <w:shd w:fill="F7F9FD"/>
          </w:tcPr>
          <w:p>
            <w:pPr>
              <w:pStyle w:val="TableBody"/>
            </w:pPr>
            <w:r>
              <w:rPr>
                <w:sz w:val="18"/>
              </w:rPr>
              <w:t>Servicios y destinos reales, preservar intención.</w:t>
            </w:r>
          </w:p>
        </w:tc>
      </w:tr>
      <w:tr>
        <w:trPr>
          <w:cantSplit/>
        </w:trPr>
        <w:tc>
          <w:tcPr>
            <w:tcW w:type="dxa" w:w="3053"/>
            <w:vAlign w:val="center"/>
            <w:shd w:fill="FFFFFF"/>
          </w:tcPr>
          <w:p>
            <w:pPr>
              <w:pStyle w:val="TableBody"/>
            </w:pPr>
            <w:r>
              <w:rPr>
                <w:rFonts w:ascii="Liberation Mono" w:hAnsi="Liberation Mono"/>
                <w:color w:val="001030"/>
                <w:sz w:val="18"/>
              </w:rPr>
              <w:t>app/fleet/page.tsx</w:t>
            </w:r>
          </w:p>
        </w:tc>
        <w:tc>
          <w:tcPr>
            <w:tcW w:type="dxa" w:w="7056"/>
            <w:vAlign w:val="center"/>
            <w:shd w:fill="FFFFFF"/>
          </w:tcPr>
          <w:p>
            <w:pPr>
              <w:pStyle w:val="TableBody"/>
            </w:pPr>
            <w:r>
              <w:rPr>
                <w:sz w:val="18"/>
              </w:rPr>
              <w:t>Fuente única de clases/capacidades, consulta y selección coherentes.</w:t>
            </w:r>
          </w:p>
        </w:tc>
      </w:tr>
      <w:tr>
        <w:trPr>
          <w:cantSplit/>
        </w:trPr>
        <w:tc>
          <w:tcPr>
            <w:tcW w:type="dxa" w:w="3053"/>
            <w:vAlign w:val="center"/>
            <w:shd w:fill="F7F9FD"/>
          </w:tcPr>
          <w:p>
            <w:pPr>
              <w:pStyle w:val="TableBody"/>
            </w:pPr>
            <w:r>
              <w:rPr>
                <w:rFonts w:ascii="Liberation Mono" w:hAnsi="Liberation Mono"/>
                <w:color w:val="001030"/>
                <w:sz w:val="18"/>
              </w:rPr>
              <w:t>app/booking/page.tsx</w:t>
            </w:r>
            <w:r>
              <w:rPr>
                <w:sz w:val="18"/>
              </w:rPr>
              <w:t xml:space="preserve">, </w:t>
            </w:r>
            <w:r>
              <w:rPr>
                <w:rFonts w:ascii="Liberation Mono" w:hAnsi="Liberation Mono"/>
                <w:color w:val="001030"/>
                <w:sz w:val="18"/>
              </w:rPr>
              <w:t>booking-wizard.tsx</w:t>
            </w:r>
          </w:p>
        </w:tc>
        <w:tc>
          <w:tcPr>
            <w:tcW w:type="dxa" w:w="7056"/>
            <w:vAlign w:val="center"/>
            <w:shd w:fill="F7F9FD"/>
          </w:tcPr>
          <w:p>
            <w:pPr>
              <w:pStyle w:val="TableBody"/>
            </w:pPr>
            <w:r>
              <w:rPr>
                <w:sz w:val="18"/>
              </w:rPr>
              <w:t>Cuatro pasos funcionales, contratos, resumen, idempotencia y referencias.</w:t>
            </w:r>
          </w:p>
        </w:tc>
      </w:tr>
      <w:tr>
        <w:trPr>
          <w:cantSplit/>
        </w:trPr>
        <w:tc>
          <w:tcPr>
            <w:tcW w:type="dxa" w:w="3053"/>
            <w:vAlign w:val="center"/>
            <w:shd w:fill="FFFFFF"/>
          </w:tcPr>
          <w:p>
            <w:pPr>
              <w:pStyle w:val="TableBody"/>
            </w:pPr>
            <w:r>
              <w:rPr>
                <w:rFonts w:ascii="Liberation Mono" w:hAnsi="Liberation Mono"/>
                <w:color w:val="001030"/>
                <w:sz w:val="18"/>
              </w:rPr>
              <w:t>app/login/page.tsx</w:t>
            </w:r>
          </w:p>
        </w:tc>
        <w:tc>
          <w:tcPr>
            <w:tcW w:type="dxa" w:w="7056"/>
            <w:vAlign w:val="center"/>
            <w:shd w:fill="FFFFFF"/>
          </w:tcPr>
          <w:p>
            <w:pPr>
              <w:pStyle w:val="TableBody"/>
            </w:pPr>
            <w:r>
              <w:rPr>
                <w:sz w:val="18"/>
              </w:rPr>
              <w:t>Acceso/alta/reset/verificación reales, retorno permitido y diseño consistente.</w:t>
            </w:r>
          </w:p>
        </w:tc>
      </w:tr>
      <w:tr>
        <w:trPr>
          <w:cantSplit/>
        </w:trPr>
        <w:tc>
          <w:tcPr>
            <w:tcW w:type="dxa" w:w="3053"/>
            <w:vAlign w:val="center"/>
            <w:shd w:fill="F7F9FD"/>
          </w:tcPr>
          <w:p>
            <w:pPr>
              <w:pStyle w:val="TableBody"/>
            </w:pPr>
            <w:r>
              <w:rPr>
                <w:rFonts w:ascii="Liberation Mono" w:hAnsi="Liberation Mono"/>
                <w:color w:val="001030"/>
                <w:sz w:val="18"/>
              </w:rPr>
              <w:t>components/auth-gate.tsx</w:t>
            </w:r>
          </w:p>
        </w:tc>
        <w:tc>
          <w:tcPr>
            <w:tcW w:type="dxa" w:w="7056"/>
            <w:vAlign w:val="center"/>
            <w:shd w:fill="F7F9FD"/>
          </w:tcPr>
          <w:p>
            <w:pPr>
              <w:pStyle w:val="TableBody"/>
            </w:pPr>
            <w:r>
              <w:rPr>
                <w:sz w:val="18"/>
              </w:rPr>
              <w:t>Distinguir sesión ausente, loading, red y permisos; no autorización solo visual.</w:t>
            </w:r>
          </w:p>
        </w:tc>
      </w:tr>
      <w:tr>
        <w:trPr>
          <w:cantSplit/>
        </w:trPr>
        <w:tc>
          <w:tcPr>
            <w:tcW w:type="dxa" w:w="3053"/>
            <w:vAlign w:val="center"/>
            <w:shd w:fill="FFFFFF"/>
          </w:tcPr>
          <w:p>
            <w:pPr>
              <w:pStyle w:val="TableBody"/>
            </w:pPr>
            <w:r>
              <w:rPr>
                <w:rFonts w:ascii="Liberation Mono" w:hAnsi="Liberation Mono"/>
                <w:color w:val="001030"/>
                <w:sz w:val="18"/>
              </w:rPr>
              <w:t>lib/api-client.ts</w:t>
            </w:r>
          </w:p>
        </w:tc>
        <w:tc>
          <w:tcPr>
            <w:tcW w:type="dxa" w:w="7056"/>
            <w:vAlign w:val="center"/>
            <w:shd w:fill="FFFFFF"/>
          </w:tcPr>
          <w:p>
            <w:pPr>
              <w:pStyle w:val="TableBody"/>
            </w:pPr>
            <w:r>
              <w:rPr>
                <w:sz w:val="18"/>
              </w:rPr>
              <w:t>Contratos, errores, cookies/CSRF, logout, sesión, catálogo y viajes coherentes.</w:t>
            </w:r>
          </w:p>
        </w:tc>
      </w:tr>
      <w:tr>
        <w:trPr>
          <w:cantSplit/>
        </w:trPr>
        <w:tc>
          <w:tcPr>
            <w:tcW w:type="dxa" w:w="3053"/>
            <w:vAlign w:val="center"/>
            <w:shd w:fill="F7F9FD"/>
          </w:tcPr>
          <w:p>
            <w:pPr>
              <w:pStyle w:val="TableBody"/>
            </w:pPr>
            <w:r>
              <w:rPr>
                <w:rFonts w:ascii="Liberation Mono" w:hAnsi="Liberation Mono"/>
                <w:color w:val="001030"/>
                <w:sz w:val="18"/>
              </w:rPr>
              <w:t>components/dashboard-shell.tsx</w:t>
            </w:r>
          </w:p>
        </w:tc>
        <w:tc>
          <w:tcPr>
            <w:tcW w:type="dxa" w:w="7056"/>
            <w:vAlign w:val="center"/>
            <w:shd w:fill="F7F9FD"/>
          </w:tcPr>
          <w:p>
            <w:pPr>
              <w:pStyle w:val="TableBody"/>
            </w:pPr>
            <w:r>
              <w:rPr>
                <w:sz w:val="18"/>
              </w:rPr>
              <w:t>Identidad real, navegación y salida; retirar controles sin responsabilidad.</w:t>
            </w:r>
          </w:p>
        </w:tc>
      </w:tr>
      <w:tr>
        <w:trPr>
          <w:cantSplit/>
        </w:trPr>
        <w:tc>
          <w:tcPr>
            <w:tcW w:type="dxa" w:w="3053"/>
            <w:vAlign w:val="center"/>
            <w:shd w:fill="FFFFFF"/>
          </w:tcPr>
          <w:p>
            <w:pPr>
              <w:pStyle w:val="TableBody"/>
            </w:pPr>
            <w:r>
              <w:rPr>
                <w:rFonts w:ascii="Liberation Mono" w:hAnsi="Liberation Mono"/>
                <w:color w:val="001030"/>
                <w:sz w:val="18"/>
              </w:rPr>
              <w:t>app/dashboard/page.tsx</w:t>
            </w:r>
          </w:p>
        </w:tc>
        <w:tc>
          <w:tcPr>
            <w:tcW w:type="dxa" w:w="7056"/>
            <w:vAlign w:val="center"/>
            <w:shd w:fill="FFFFFF"/>
          </w:tcPr>
          <w:p>
            <w:pPr>
              <w:pStyle w:val="TableBody"/>
            </w:pPr>
            <w:r>
              <w:rPr>
                <w:sz w:val="18"/>
              </w:rPr>
              <w:t>Lista, próximo viaje y estados vacíos/error con datos autorizados.</w:t>
            </w:r>
          </w:p>
        </w:tc>
      </w:tr>
      <w:tr>
        <w:trPr>
          <w:cantSplit/>
        </w:trPr>
        <w:tc>
          <w:tcPr>
            <w:tcW w:type="dxa" w:w="3053"/>
            <w:vAlign w:val="center"/>
            <w:shd w:fill="F7F9FD"/>
          </w:tcPr>
          <w:p>
            <w:pPr>
              <w:pStyle w:val="TableBody"/>
            </w:pPr>
            <w:r>
              <w:rPr>
                <w:rFonts w:ascii="Liberation Mono" w:hAnsi="Liberation Mono"/>
                <w:color w:val="001030"/>
                <w:sz w:val="18"/>
              </w:rPr>
              <w:t>app/account/page.tsx</w:t>
            </w:r>
            <w:r>
              <w:rPr>
                <w:sz w:val="18"/>
              </w:rPr>
              <w:t xml:space="preserve"> si se conserva</w:t>
            </w:r>
          </w:p>
        </w:tc>
        <w:tc>
          <w:tcPr>
            <w:tcW w:type="dxa" w:w="7056"/>
            <w:vAlign w:val="center"/>
            <w:shd w:fill="F7F9FD"/>
          </w:tcPr>
          <w:p>
            <w:pPr>
              <w:pStyle w:val="TableBody"/>
            </w:pPr>
            <w:r>
              <w:rPr>
                <w:sz w:val="18"/>
              </w:rPr>
              <w:t>Ajustes conectados, no segundo dashboard.</w:t>
            </w:r>
          </w:p>
        </w:tc>
      </w:tr>
      <w:tr>
        <w:trPr>
          <w:cantSplit/>
        </w:trPr>
        <w:tc>
          <w:tcPr>
            <w:tcW w:type="dxa" w:w="3053"/>
            <w:vAlign w:val="center"/>
            <w:shd w:fill="FFFFFF"/>
          </w:tcPr>
          <w:p>
            <w:pPr>
              <w:pStyle w:val="TableBody"/>
            </w:pPr>
            <w:r>
              <w:rPr>
                <w:rFonts w:ascii="Liberation Mono" w:hAnsi="Liberation Mono"/>
                <w:color w:val="001030"/>
                <w:sz w:val="18"/>
              </w:rPr>
              <w:t>app/business/page.tsx</w:t>
            </w:r>
          </w:p>
        </w:tc>
        <w:tc>
          <w:tcPr>
            <w:tcW w:type="dxa" w:w="7056"/>
            <w:vAlign w:val="center"/>
            <w:shd w:fill="FFFFFF"/>
          </w:tcPr>
          <w:p>
            <w:pPr>
              <w:pStyle w:val="TableBody"/>
            </w:pPr>
            <w:r>
              <w:rPr>
                <w:sz w:val="18"/>
              </w:rPr>
              <w:t>Captación pública y consulta empresarial persistida.</w:t>
            </w:r>
          </w:p>
        </w:tc>
      </w:tr>
      <w:tr>
        <w:trPr>
          <w:cantSplit/>
        </w:trPr>
        <w:tc>
          <w:tcPr>
            <w:tcW w:type="dxa" w:w="3053"/>
            <w:vAlign w:val="center"/>
            <w:shd w:fill="F7F9FD"/>
          </w:tcPr>
          <w:p>
            <w:pPr>
              <w:pStyle w:val="TableBody"/>
            </w:pPr>
            <w:r>
              <w:rPr>
                <w:rFonts w:ascii="Liberation Mono" w:hAnsi="Liberation Mono"/>
                <w:color w:val="001030"/>
                <w:sz w:val="18"/>
              </w:rPr>
              <w:t>app/corporate/page.tsx</w:t>
            </w:r>
          </w:p>
        </w:tc>
        <w:tc>
          <w:tcPr>
            <w:tcW w:type="dxa" w:w="7056"/>
            <w:vAlign w:val="center"/>
            <w:shd w:fill="F7F9FD"/>
          </w:tcPr>
          <w:p>
            <w:pPr>
              <w:pStyle w:val="TableBody"/>
            </w:pPr>
            <w:r>
              <w:rPr>
                <w:sz w:val="18"/>
              </w:rPr>
              <w:t>Organización/rol, booker/pasajero y datos correctos.</w:t>
            </w:r>
          </w:p>
        </w:tc>
      </w:tr>
      <w:tr>
        <w:trPr>
          <w:cantSplit/>
        </w:trPr>
        <w:tc>
          <w:tcPr>
            <w:tcW w:type="dxa" w:w="3053"/>
            <w:vAlign w:val="center"/>
            <w:shd w:fill="FFFFFF"/>
          </w:tcPr>
          <w:p>
            <w:pPr>
              <w:pStyle w:val="TableBody"/>
            </w:pPr>
            <w:r>
              <w:rPr>
                <w:rFonts w:ascii="Liberation Mono" w:hAnsi="Liberation Mono"/>
                <w:color w:val="001030"/>
                <w:sz w:val="18"/>
              </w:rPr>
              <w:t>components/usage-matrix.tsx</w:t>
            </w:r>
            <w:r>
              <w:rPr>
                <w:sz w:val="18"/>
              </w:rPr>
              <w:t xml:space="preserve"> y ruta usage</w:t>
            </w:r>
          </w:p>
        </w:tc>
        <w:tc>
          <w:tcPr>
            <w:tcW w:type="dxa" w:w="7056"/>
            <w:vAlign w:val="center"/>
            <w:shd w:fill="FFFFFF"/>
          </w:tcPr>
          <w:p>
            <w:pPr>
              <w:pStyle w:val="TableBody"/>
            </w:pPr>
            <w:r>
              <w:rPr>
                <w:sz w:val="18"/>
              </w:rPr>
              <w:t>Sin dataset ficticio; filtros/exportación reales o módulo explícitamente pendiente.</w:t>
            </w:r>
          </w:p>
        </w:tc>
      </w:tr>
      <w:tr>
        <w:trPr>
          <w:cantSplit/>
        </w:trPr>
        <w:tc>
          <w:tcPr>
            <w:tcW w:type="dxa" w:w="3053"/>
            <w:vAlign w:val="center"/>
            <w:shd w:fill="F7F9FD"/>
          </w:tcPr>
          <w:p>
            <w:pPr>
              <w:pStyle w:val="TableBody"/>
            </w:pPr>
            <w:r>
              <w:rPr>
                <w:rFonts w:ascii="Liberation Mono" w:hAnsi="Liberation Mono"/>
                <w:color w:val="001030"/>
                <w:sz w:val="18"/>
              </w:rPr>
              <w:t>app/contact</w:t>
            </w:r>
            <w:r>
              <w:rPr>
                <w:sz w:val="18"/>
              </w:rPr>
              <w:t xml:space="preserve">, </w:t>
            </w:r>
            <w:r>
              <w:rPr>
                <w:rFonts w:ascii="Liberation Mono" w:hAnsi="Liberation Mono"/>
                <w:color w:val="001030"/>
                <w:sz w:val="18"/>
              </w:rPr>
              <w:t>app/help</w:t>
            </w:r>
          </w:p>
        </w:tc>
        <w:tc>
          <w:tcPr>
            <w:tcW w:type="dxa" w:w="7056"/>
            <w:vAlign w:val="center"/>
            <w:shd w:fill="F7F9FD"/>
          </w:tcPr>
          <w:p>
            <w:pPr>
              <w:pStyle w:val="TableBody"/>
            </w:pPr>
            <w:r>
              <w:rPr>
                <w:sz w:val="18"/>
              </w:rPr>
              <w:t>Formularios y ayuda útiles, sin políticas o canales inventados.</w:t>
            </w:r>
          </w:p>
        </w:tc>
      </w:tr>
      <w:tr>
        <w:trPr>
          <w:cantSplit/>
        </w:trPr>
        <w:tc>
          <w:tcPr>
            <w:tcW w:type="dxa" w:w="3053"/>
            <w:vAlign w:val="center"/>
            <w:shd w:fill="FFFFFF"/>
          </w:tcPr>
          <w:p>
            <w:pPr>
              <w:pStyle w:val="TableBody"/>
            </w:pPr>
            <w:r>
              <w:rPr>
                <w:rFonts w:ascii="Liberation Mono" w:hAnsi="Liberation Mono"/>
                <w:color w:val="001030"/>
                <w:sz w:val="18"/>
              </w:rPr>
              <w:t>app/privacy</w:t>
            </w:r>
            <w:r>
              <w:rPr>
                <w:sz w:val="18"/>
              </w:rPr>
              <w:t xml:space="preserve">, </w:t>
            </w:r>
            <w:r>
              <w:rPr>
                <w:rFonts w:ascii="Liberation Mono" w:hAnsi="Liberation Mono"/>
                <w:color w:val="001030"/>
                <w:sz w:val="18"/>
              </w:rPr>
              <w:t>app/terms</w:t>
            </w:r>
          </w:p>
        </w:tc>
        <w:tc>
          <w:tcPr>
            <w:tcW w:type="dxa" w:w="7056"/>
            <w:vAlign w:val="center"/>
            <w:shd w:fill="FFFFFF"/>
          </w:tcPr>
          <w:p>
            <w:pPr>
              <w:pStyle w:val="TableBody"/>
            </w:pPr>
            <w:r>
              <w:rPr>
                <w:sz w:val="18"/>
              </w:rPr>
              <w:t>Avisos de revisión o contenido aprobado; sin copia legal ajena.</w:t>
            </w:r>
          </w:p>
        </w:tc>
      </w:tr>
      <w:tr>
        <w:trPr>
          <w:cantSplit/>
        </w:trPr>
        <w:tc>
          <w:tcPr>
            <w:tcW w:type="dxa" w:w="3053"/>
            <w:vAlign w:val="center"/>
            <w:shd w:fill="F7F9FD"/>
          </w:tcPr>
          <w:p>
            <w:pPr>
              <w:pStyle w:val="TableBody"/>
            </w:pPr>
            <w:r>
              <w:rPr>
                <w:rFonts w:ascii="Liberation Mono" w:hAnsi="Liberation Mono"/>
                <w:color w:val="001030"/>
                <w:sz w:val="18"/>
              </w:rPr>
              <w:t>app/admin</w:t>
            </w:r>
            <w:r>
              <w:rPr>
                <w:sz w:val="18"/>
              </w:rPr>
              <w:t xml:space="preserve"> y componentes operativos</w:t>
            </w:r>
          </w:p>
        </w:tc>
        <w:tc>
          <w:tcPr>
            <w:tcW w:type="dxa" w:w="7056"/>
            <w:vAlign w:val="center"/>
            <w:shd w:fill="F7F9FD"/>
          </w:tcPr>
          <w:p>
            <w:pPr>
              <w:pStyle w:val="TableBody"/>
            </w:pPr>
            <w:r>
              <w:rPr>
                <w:sz w:val="18"/>
              </w:rPr>
              <w:t>Cola, detalle, cotización manual y auditoría con permisos de servidor.</w:t>
            </w:r>
          </w:p>
        </w:tc>
      </w:tr>
      <w:tr>
        <w:trPr>
          <w:cantSplit/>
        </w:trPr>
        <w:tc>
          <w:tcPr>
            <w:tcW w:type="dxa" w:w="3053"/>
            <w:vAlign w:val="center"/>
            <w:shd w:fill="FFFFFF"/>
          </w:tcPr>
          <w:p>
            <w:pPr>
              <w:pStyle w:val="TableBody"/>
            </w:pPr>
            <w:r>
              <w:rPr>
                <w:rFonts w:ascii="Liberation Mono" w:hAnsi="Liberation Mono"/>
                <w:color w:val="001030"/>
                <w:sz w:val="18"/>
              </w:rPr>
              <w:t>app/development</w:t>
            </w:r>
            <w:r>
              <w:rPr>
                <w:sz w:val="18"/>
              </w:rPr>
              <w:t xml:space="preserve"> si existe</w:t>
            </w:r>
          </w:p>
        </w:tc>
        <w:tc>
          <w:tcPr>
            <w:tcW w:type="dxa" w:w="7056"/>
            <w:vAlign w:val="center"/>
            <w:shd w:fill="FFFFFF"/>
          </w:tcPr>
          <w:p>
            <w:pPr>
              <w:pStyle w:val="TableBody"/>
            </w:pPr>
            <w:r>
              <w:rPr>
                <w:sz w:val="18"/>
              </w:rPr>
              <w:t>Acceso exclusivamente local/protegido; bloqueo en producción.</w:t>
            </w:r>
          </w:p>
        </w:tc>
      </w:tr>
      <w:tr>
        <w:trPr>
          <w:cantSplit/>
        </w:trPr>
        <w:tc>
          <w:tcPr>
            <w:tcW w:type="dxa" w:w="3053"/>
            <w:vAlign w:val="center"/>
            <w:shd w:fill="F7F9FD"/>
          </w:tcPr>
          <w:p>
            <w:pPr>
              <w:pStyle w:val="TableBody"/>
            </w:pPr>
            <w:r>
              <w:rPr>
                <w:rFonts w:ascii="Liberation Mono" w:hAnsi="Liberation Mono"/>
                <w:color w:val="001030"/>
                <w:sz w:val="18"/>
              </w:rPr>
              <w:t>app/not-found.tsx</w:t>
            </w:r>
            <w:r>
              <w:rPr>
                <w:sz w:val="18"/>
              </w:rPr>
              <w:t xml:space="preserve"> y errores</w:t>
            </w:r>
          </w:p>
        </w:tc>
        <w:tc>
          <w:tcPr>
            <w:tcW w:type="dxa" w:w="7056"/>
            <w:vAlign w:val="center"/>
            <w:shd w:fill="F7F9FD"/>
          </w:tcPr>
          <w:p>
            <w:pPr>
              <w:pStyle w:val="TableBody"/>
            </w:pPr>
            <w:r>
              <w:rPr>
                <w:sz w:val="18"/>
              </w:rPr>
              <w:t>Identidad y recuperación sin detalles internos.</w:t>
            </w:r>
          </w:p>
        </w:tc>
      </w:tr>
      <w:tr>
        <w:trPr>
          <w:cantSplit/>
        </w:trPr>
        <w:tc>
          <w:tcPr>
            <w:tcW w:type="dxa" w:w="3053"/>
            <w:vAlign w:val="center"/>
            <w:shd w:fill="FFFFFF"/>
          </w:tcPr>
          <w:p>
            <w:pPr>
              <w:pStyle w:val="TableBody"/>
            </w:pPr>
            <w:r>
              <w:rPr>
                <w:rFonts w:ascii="Liberation Mono" w:hAnsi="Liberation Mono"/>
                <w:color w:val="001030"/>
                <w:sz w:val="18"/>
              </w:rPr>
              <w:t>features/ascenta/*</w:t>
            </w:r>
            <w:r>
              <w:rPr>
                <w:sz w:val="18"/>
              </w:rPr>
              <w:t xml:space="preserve"> candidato</w:t>
            </w:r>
          </w:p>
        </w:tc>
        <w:tc>
          <w:tcPr>
            <w:tcW w:type="dxa" w:w="7056"/>
            <w:vAlign w:val="center"/>
            <w:shd w:fill="FFFFFF"/>
          </w:tcPr>
          <w:p>
            <w:pPr>
              <w:pStyle w:val="TableBody"/>
            </w:pPr>
            <w:r>
              <w:rPr>
                <w:sz w:val="18"/>
              </w:rPr>
              <w:t>Leer/adaptar responsabilidades, no reemplazar todo con otra app; evitar duplicación.</w:t>
            </w:r>
          </w:p>
        </w:tc>
      </w:tr>
      <w:tr>
        <w:trPr>
          <w:cantSplit/>
        </w:trPr>
        <w:tc>
          <w:tcPr>
            <w:tcW w:type="dxa" w:w="3053"/>
            <w:vAlign w:val="center"/>
            <w:shd w:fill="F7F9FD"/>
          </w:tcPr>
          <w:p>
            <w:pPr>
              <w:pStyle w:val="TableBody"/>
            </w:pPr>
            <w:r>
              <w:rPr>
                <w:rFonts w:ascii="Liberation Mono" w:hAnsi="Liberation Mono"/>
                <w:color w:val="001030"/>
                <w:sz w:val="18"/>
              </w:rPr>
              <w:t>apps/api/src/app.ts</w:t>
            </w:r>
          </w:p>
        </w:tc>
        <w:tc>
          <w:tcPr>
            <w:tcW w:type="dxa" w:w="7056"/>
            <w:vAlign w:val="center"/>
            <w:shd w:fill="F7F9FD"/>
          </w:tcPr>
          <w:p>
            <w:pPr>
              <w:pStyle w:val="TableBody"/>
            </w:pPr>
            <w:r>
              <w:rPr>
                <w:sz w:val="18"/>
              </w:rPr>
              <w:t>Extender endpoints/middleware conservando consumidores v1 y seguridad.</w:t>
            </w:r>
          </w:p>
        </w:tc>
      </w:tr>
      <w:tr>
        <w:trPr>
          <w:cantSplit/>
        </w:trPr>
        <w:tc>
          <w:tcPr>
            <w:tcW w:type="dxa" w:w="3053"/>
            <w:vAlign w:val="center"/>
            <w:shd w:fill="FFFFFF"/>
          </w:tcPr>
          <w:p>
            <w:pPr>
              <w:pStyle w:val="TableBody"/>
            </w:pPr>
            <w:r>
              <w:rPr>
                <w:rFonts w:ascii="Liberation Mono" w:hAnsi="Liberation Mono"/>
                <w:color w:val="001030"/>
                <w:sz w:val="18"/>
              </w:rPr>
              <w:t>apps/api/src/server.ts</w:t>
            </w:r>
            <w:r>
              <w:rPr>
                <w:sz w:val="18"/>
              </w:rPr>
              <w:t xml:space="preserve">, </w:t>
            </w:r>
            <w:r>
              <w:rPr>
                <w:rFonts w:ascii="Liberation Mono" w:hAnsi="Liberation Mono"/>
                <w:color w:val="001030"/>
                <w:sz w:val="18"/>
              </w:rPr>
              <w:t>config.ts</w:t>
            </w:r>
          </w:p>
        </w:tc>
        <w:tc>
          <w:tcPr>
            <w:tcW w:type="dxa" w:w="7056"/>
            <w:vAlign w:val="center"/>
            <w:shd w:fill="FFFFFF"/>
          </w:tcPr>
          <w:p>
            <w:pPr>
              <w:pStyle w:val="TableBody"/>
            </w:pPr>
            <w:r>
              <w:rPr>
                <w:sz w:val="18"/>
              </w:rPr>
              <w:t>Configuración, puertos y modos inequívocos; no demo en producción.</w:t>
            </w:r>
          </w:p>
        </w:tc>
      </w:tr>
      <w:tr>
        <w:trPr>
          <w:cantSplit/>
        </w:trPr>
        <w:tc>
          <w:tcPr>
            <w:tcW w:type="dxa" w:w="3053"/>
            <w:vAlign w:val="center"/>
            <w:shd w:fill="F7F9FD"/>
          </w:tcPr>
          <w:p>
            <w:pPr>
              <w:pStyle w:val="TableBody"/>
            </w:pPr>
            <w:r>
              <w:rPr>
                <w:rFonts w:ascii="Liberation Mono" w:hAnsi="Liberation Mono"/>
                <w:color w:val="001030"/>
                <w:sz w:val="18"/>
              </w:rPr>
              <w:t>apps/api/src/repository.ts</w:t>
            </w:r>
          </w:p>
        </w:tc>
        <w:tc>
          <w:tcPr>
            <w:tcW w:type="dxa" w:w="7056"/>
            <w:vAlign w:val="center"/>
            <w:shd w:fill="F7F9FD"/>
          </w:tcPr>
          <w:p>
            <w:pPr>
              <w:pStyle w:val="TableBody"/>
            </w:pPr>
            <w:r>
              <w:rPr>
                <w:sz w:val="18"/>
              </w:rPr>
              <w:t>Contratos y responsabilidad única de persistencia/identidad.</w:t>
            </w:r>
          </w:p>
        </w:tc>
      </w:tr>
      <w:tr>
        <w:trPr>
          <w:cantSplit/>
        </w:trPr>
        <w:tc>
          <w:tcPr>
            <w:tcW w:type="dxa" w:w="3053"/>
            <w:vAlign w:val="center"/>
            <w:shd w:fill="FFFFFF"/>
          </w:tcPr>
          <w:p>
            <w:pPr>
              <w:pStyle w:val="TableBody"/>
            </w:pPr>
            <w:r>
              <w:rPr>
                <w:rFonts w:ascii="Liberation Mono" w:hAnsi="Liberation Mono"/>
                <w:color w:val="001030"/>
                <w:sz w:val="18"/>
              </w:rPr>
              <w:t>apps/api/src/mysql-repository.ts</w:t>
            </w:r>
          </w:p>
        </w:tc>
        <w:tc>
          <w:tcPr>
            <w:tcW w:type="dxa" w:w="7056"/>
            <w:vAlign w:val="center"/>
            <w:shd w:fill="FFFFFF"/>
          </w:tcPr>
          <w:p>
            <w:pPr>
              <w:pStyle w:val="TableBody"/>
            </w:pPr>
            <w:r>
              <w:rPr>
                <w:sz w:val="18"/>
              </w:rPr>
              <w:t>Vigencia/capacidad, referencia, idempotencia, permisos y transacciones.</w:t>
            </w:r>
          </w:p>
        </w:tc>
      </w:tr>
      <w:tr>
        <w:trPr>
          <w:cantSplit/>
        </w:trPr>
        <w:tc>
          <w:tcPr>
            <w:tcW w:type="dxa" w:w="3053"/>
            <w:vAlign w:val="center"/>
            <w:shd w:fill="F7F9FD"/>
          </w:tcPr>
          <w:p>
            <w:pPr>
              <w:pStyle w:val="TableBody"/>
            </w:pPr>
            <w:r>
              <w:rPr>
                <w:rFonts w:ascii="Liberation Mono" w:hAnsi="Liberation Mono"/>
                <w:color w:val="001030"/>
                <w:sz w:val="18"/>
              </w:rPr>
              <w:t>apps/api/src/demo-repository.ts</w:t>
            </w:r>
          </w:p>
        </w:tc>
        <w:tc>
          <w:tcPr>
            <w:tcW w:type="dxa" w:w="7056"/>
            <w:vAlign w:val="center"/>
            <w:shd w:fill="F7F9FD"/>
          </w:tcPr>
          <w:p>
            <w:pPr>
              <w:pStyle w:val="TableBody"/>
            </w:pPr>
            <w:r>
              <w:rPr>
                <w:sz w:val="18"/>
              </w:rPr>
              <w:t>Aislar fixtures; no exposición comercial accidental.</w:t>
            </w:r>
          </w:p>
        </w:tc>
      </w:tr>
      <w:tr>
        <w:trPr>
          <w:cantSplit/>
        </w:trPr>
        <w:tc>
          <w:tcPr>
            <w:tcW w:type="dxa" w:w="3053"/>
            <w:vAlign w:val="center"/>
            <w:shd w:fill="FFFFFF"/>
          </w:tcPr>
          <w:p>
            <w:pPr>
              <w:pStyle w:val="TableBody"/>
            </w:pPr>
            <w:r>
              <w:rPr>
                <w:rFonts w:ascii="Liberation Mono" w:hAnsi="Liberation Mono"/>
                <w:color w:val="001030"/>
                <w:sz w:val="18"/>
              </w:rPr>
              <w:t>apps/api/src/platform/*</w:t>
            </w:r>
            <w:r>
              <w:rPr>
                <w:sz w:val="18"/>
              </w:rPr>
              <w:t xml:space="preserve"> si se adopta</w:t>
            </w:r>
          </w:p>
        </w:tc>
        <w:tc>
          <w:tcPr>
            <w:tcW w:type="dxa" w:w="7056"/>
            <w:vAlign w:val="center"/>
            <w:shd w:fill="FFFFFF"/>
          </w:tcPr>
          <w:p>
            <w:pPr>
              <w:pStyle w:val="TableBody"/>
            </w:pPr>
            <w:r>
              <w:rPr>
                <w:sz w:val="18"/>
              </w:rPr>
              <w:t>Integración versionada deliberada, compatibilidad de sesión/hash y modos opt-in.</w:t>
            </w:r>
          </w:p>
        </w:tc>
      </w:tr>
      <w:tr>
        <w:trPr>
          <w:cantSplit/>
        </w:trPr>
        <w:tc>
          <w:tcPr>
            <w:tcW w:type="dxa" w:w="3053"/>
            <w:vAlign w:val="center"/>
            <w:shd w:fill="F7F9FD"/>
          </w:tcPr>
          <w:p>
            <w:pPr>
              <w:pStyle w:val="TableBody"/>
            </w:pPr>
            <w:r>
              <w:rPr>
                <w:rFonts w:ascii="Liberation Mono" w:hAnsi="Liberation Mono"/>
                <w:color w:val="001030"/>
                <w:sz w:val="18"/>
              </w:rPr>
              <w:t>packages/shared/src/index.ts</w:t>
            </w:r>
            <w:r>
              <w:rPr>
                <w:sz w:val="18"/>
              </w:rPr>
              <w:t xml:space="preserve"> y </w:t>
            </w:r>
            <w:r>
              <w:rPr>
                <w:rFonts w:ascii="Liberation Mono" w:hAnsi="Liberation Mono"/>
                <w:color w:val="001030"/>
                <w:sz w:val="18"/>
              </w:rPr>
              <w:t>platform/*</w:t>
            </w:r>
          </w:p>
        </w:tc>
        <w:tc>
          <w:tcPr>
            <w:tcW w:type="dxa" w:w="7056"/>
            <w:vAlign w:val="center"/>
            <w:shd w:fill="F7F9FD"/>
          </w:tcPr>
          <w:p>
            <w:pPr>
              <w:pStyle w:val="TableBody"/>
            </w:pPr>
            <w:r>
              <w:rPr>
                <w:sz w:val="18"/>
              </w:rPr>
              <w:t>Contratos compartidos y reglas condicionales sin ramas divergentes.</w:t>
            </w:r>
          </w:p>
        </w:tc>
      </w:tr>
      <w:tr>
        <w:trPr>
          <w:cantSplit/>
        </w:trPr>
        <w:tc>
          <w:tcPr>
            <w:tcW w:type="dxa" w:w="3053"/>
            <w:vAlign w:val="center"/>
            <w:shd w:fill="FFFFFF"/>
          </w:tcPr>
          <w:p>
            <w:pPr>
              <w:pStyle w:val="TableBody"/>
            </w:pPr>
            <w:r>
              <w:rPr>
                <w:rFonts w:ascii="Liberation Mono" w:hAnsi="Liberation Mono"/>
                <w:color w:val="001030"/>
                <w:sz w:val="18"/>
              </w:rPr>
              <w:t>packages/database/prisma/schema.prisma</w:t>
            </w:r>
          </w:p>
        </w:tc>
        <w:tc>
          <w:tcPr>
            <w:tcW w:type="dxa" w:w="7056"/>
            <w:vAlign w:val="center"/>
            <w:shd w:fill="FFFFFF"/>
          </w:tcPr>
          <w:p>
            <w:pPr>
              <w:pStyle w:val="TableBody"/>
            </w:pPr>
            <w:r>
              <w:rPr>
                <w:sz w:val="18"/>
              </w:rPr>
              <w:t>Cambios aditivos coherentes, no reset ni pérdida de relaciones.</w:t>
            </w:r>
          </w:p>
        </w:tc>
      </w:tr>
      <w:tr>
        <w:trPr>
          <w:cantSplit/>
        </w:trPr>
        <w:tc>
          <w:tcPr>
            <w:tcW w:type="dxa" w:w="3053"/>
            <w:vAlign w:val="center"/>
            <w:shd w:fill="F7F9FD"/>
          </w:tcPr>
          <w:p>
            <w:pPr>
              <w:pStyle w:val="TableBody"/>
            </w:pPr>
            <w:r>
              <w:rPr>
                <w:sz w:val="18"/>
              </w:rPr>
              <w:t>Migraciones y config de Prisma</w:t>
            </w:r>
          </w:p>
        </w:tc>
        <w:tc>
          <w:tcPr>
            <w:tcW w:type="dxa" w:w="7056"/>
            <w:vAlign w:val="center"/>
            <w:shd w:fill="F7F9FD"/>
          </w:tcPr>
          <w:p>
            <w:pPr>
              <w:pStyle w:val="TableBody"/>
            </w:pPr>
            <w:r>
              <w:rPr>
                <w:sz w:val="18"/>
              </w:rPr>
              <w:t>SQL revisado, destino de prueba, compatibilidad y recuperación.</w:t>
            </w:r>
          </w:p>
        </w:tc>
      </w:tr>
      <w:tr>
        <w:trPr>
          <w:cantSplit/>
        </w:trPr>
        <w:tc>
          <w:tcPr>
            <w:tcW w:type="dxa" w:w="3053"/>
            <w:vAlign w:val="center"/>
            <w:shd w:fill="FFFFFF"/>
          </w:tcPr>
          <w:p>
            <w:pPr>
              <w:pStyle w:val="TableBody"/>
            </w:pPr>
            <w:r>
              <w:rPr>
                <w:rFonts w:ascii="Liberation Mono" w:hAnsi="Liberation Mono"/>
                <w:color w:val="001030"/>
                <w:sz w:val="18"/>
              </w:rPr>
              <w:t>packages/database/src/index.ts</w:t>
            </w:r>
          </w:p>
        </w:tc>
        <w:tc>
          <w:tcPr>
            <w:tcW w:type="dxa" w:w="7056"/>
            <w:vAlign w:val="center"/>
            <w:shd w:fill="FFFFFF"/>
          </w:tcPr>
          <w:p>
            <w:pPr>
              <w:pStyle w:val="TableBody"/>
            </w:pPr>
            <w:r>
              <w:rPr>
                <w:sz w:val="18"/>
              </w:rPr>
              <w:t>Fuente de configuración coherente con test/migración/API.</w:t>
            </w:r>
          </w:p>
        </w:tc>
      </w:tr>
      <w:tr>
        <w:trPr>
          <w:cantSplit/>
        </w:trPr>
        <w:tc>
          <w:tcPr>
            <w:tcW w:type="dxa" w:w="3053"/>
            <w:vAlign w:val="center"/>
            <w:shd w:fill="F7F9FD"/>
          </w:tcPr>
          <w:p>
            <w:pPr>
              <w:pStyle w:val="TableBody"/>
            </w:pPr>
            <w:r>
              <w:rPr>
                <w:rFonts w:ascii="Liberation Mono" w:hAnsi="Liberation Mono"/>
                <w:color w:val="001030"/>
                <w:sz w:val="18"/>
              </w:rPr>
              <w:t>tests/integration</w:t>
            </w:r>
            <w:r>
              <w:rPr>
                <w:sz w:val="18"/>
              </w:rPr>
              <w:t xml:space="preserve">, </w:t>
            </w:r>
            <w:r>
              <w:rPr>
                <w:rFonts w:ascii="Liberation Mono" w:hAnsi="Liberation Mono"/>
                <w:color w:val="001030"/>
                <w:sz w:val="18"/>
              </w:rPr>
              <w:t>tests/ascenta</w:t>
            </w:r>
          </w:p>
        </w:tc>
        <w:tc>
          <w:tcPr>
            <w:tcW w:type="dxa" w:w="7056"/>
            <w:vAlign w:val="center"/>
            <w:shd w:fill="F7F9FD"/>
          </w:tcPr>
          <w:p>
            <w:pPr>
              <w:pStyle w:val="TableBody"/>
            </w:pPr>
            <w:r>
              <w:rPr>
                <w:sz w:val="18"/>
              </w:rPr>
              <w:t>Contratos, casos negativos, roles, sesión, DB y regresiones.</w:t>
            </w:r>
          </w:p>
        </w:tc>
      </w:tr>
      <w:tr>
        <w:trPr>
          <w:cantSplit/>
        </w:trPr>
        <w:tc>
          <w:tcPr>
            <w:tcW w:type="dxa" w:w="3053"/>
            <w:vAlign w:val="center"/>
            <w:shd w:fill="FFFFFF"/>
          </w:tcPr>
          <w:p>
            <w:pPr>
              <w:pStyle w:val="TableBody"/>
            </w:pPr>
            <w:r>
              <w:rPr>
                <w:rFonts w:ascii="Liberation Mono" w:hAnsi="Liberation Mono"/>
                <w:color w:val="001030"/>
                <w:sz w:val="18"/>
              </w:rPr>
              <w:t>tests/visual</w:t>
            </w:r>
          </w:p>
        </w:tc>
        <w:tc>
          <w:tcPr>
            <w:tcW w:type="dxa" w:w="7056"/>
            <w:vAlign w:val="center"/>
            <w:shd w:fill="FFFFFF"/>
          </w:tcPr>
          <w:p>
            <w:pPr>
              <w:pStyle w:val="TableBody"/>
            </w:pPr>
            <w:r>
              <w:rPr>
                <w:sz w:val="18"/>
              </w:rPr>
              <w:t>Render/captura actual del navegador, no solo hashes de evidencia histórica.</w:t>
            </w:r>
          </w:p>
        </w:tc>
      </w:tr>
      <w:tr>
        <w:trPr>
          <w:cantSplit/>
        </w:trPr>
        <w:tc>
          <w:tcPr>
            <w:tcW w:type="dxa" w:w="3053"/>
            <w:vAlign w:val="center"/>
            <w:shd w:fill="F7F9FD"/>
          </w:tcPr>
          <w:p>
            <w:pPr>
              <w:pStyle w:val="TableBody"/>
            </w:pPr>
            <w:r>
              <w:rPr>
                <w:rFonts w:ascii="Liberation Mono" w:hAnsi="Liberation Mono"/>
                <w:color w:val="001030"/>
                <w:sz w:val="18"/>
              </w:rPr>
              <w:t>.github/workflows/ci.yml</w:t>
            </w:r>
          </w:p>
        </w:tc>
        <w:tc>
          <w:tcPr>
            <w:tcW w:type="dxa" w:w="7056"/>
            <w:vAlign w:val="center"/>
            <w:shd w:fill="F7F9FD"/>
          </w:tcPr>
          <w:p>
            <w:pPr>
              <w:pStyle w:val="TableBody"/>
            </w:pPr>
            <w:r>
              <w:rPr>
                <w:sz w:val="18"/>
              </w:rPr>
              <w:t>Calidad nativa con servicios aislados; no test destructivo contra datos reales.</w:t>
            </w:r>
          </w:p>
        </w:tc>
      </w:tr>
      <w:tr>
        <w:trPr>
          <w:cantSplit/>
        </w:trPr>
        <w:tc>
          <w:tcPr>
            <w:tcW w:type="dxa" w:w="3053"/>
            <w:vAlign w:val="center"/>
            <w:shd w:fill="FFFFFF"/>
          </w:tcPr>
          <w:p>
            <w:pPr>
              <w:pStyle w:val="TableBody"/>
            </w:pPr>
            <w:r>
              <w:rPr>
                <w:rFonts w:ascii="Liberation Mono" w:hAnsi="Liberation Mono"/>
                <w:color w:val="001030"/>
                <w:sz w:val="18"/>
              </w:rPr>
              <w:t>.gitignore</w:t>
            </w:r>
            <w:r>
              <w:rPr>
                <w:sz w:val="18"/>
              </w:rPr>
              <w:t>, ejemplos de entorno</w:t>
            </w:r>
          </w:p>
        </w:tc>
        <w:tc>
          <w:tcPr>
            <w:tcW w:type="dxa" w:w="7056"/>
            <w:vAlign w:val="center"/>
            <w:shd w:fill="FFFFFF"/>
          </w:tcPr>
          <w:p>
            <w:pPr>
              <w:pStyle w:val="TableBody"/>
            </w:pPr>
            <w:r>
              <w:rPr>
                <w:sz w:val="18"/>
              </w:rPr>
              <w:t>Ejemplos seguros versionables; secretos y referencias privadas excluidos.</w:t>
            </w:r>
          </w:p>
        </w:tc>
      </w:tr>
    </w:tbl>
    <w:p>
      <w:pPr>
        <w:spacing w:after="40"/>
      </w:pPr>
    </w:p>
    <w:p>
      <w:r>
        <w:t xml:space="preserve">Una versión candidata no es un reemplazo automático del archivo original. Reconcilia nombres, alias, imports </w:t>
      </w:r>
      <w:r>
        <w:rPr>
          <w:rFonts w:ascii="Liberation Mono" w:hAnsi="Liberation Mono"/>
          <w:color w:val="001030"/>
          <w:sz w:val="18"/>
        </w:rPr>
        <w:t>.js</w:t>
      </w:r>
      <w:r>
        <w:t xml:space="preserve">/TS, exports de shared, generación de Prisma y convenciones de componentes. No resuelvas errores con </w:t>
      </w:r>
      <w:r>
        <w:rPr>
          <w:rFonts w:ascii="Liberation Mono" w:hAnsi="Liberation Mono"/>
          <w:color w:val="001030"/>
          <w:sz w:val="18"/>
        </w:rPr>
        <w:t>any</w:t>
      </w:r>
      <w:r>
        <w:t xml:space="preserve"> generalizado, </w:t>
      </w:r>
      <w:r>
        <w:rPr>
          <w:rFonts w:ascii="Liberation Mono" w:hAnsi="Liberation Mono"/>
          <w:color w:val="001030"/>
          <w:sz w:val="18"/>
        </w:rPr>
        <w:t>@ts-ignore</w:t>
      </w:r>
      <w:r>
        <w:t xml:space="preserve"> repetido o stubs del framework que aparenten una compilación válida.</w:t>
      </w:r>
    </w:p>
    <w:p>
      <w:pPr>
        <w:pStyle w:val="Heading1"/>
      </w:pPr>
      <w:r>
        <w:t>28. Orden de implementación por lotes A–H</w:t>
      </w:r>
    </w:p>
    <w:p>
      <w:r>
        <w:t>Mantén las ocho etapas de D02. El agente puede dividir un lote en commits pequeños y adelantar una prueba necesaria, pero no declarar terminada una fase posterior porque existe su pantalla. Cada lote incluye objetivo, archivos, exclusiones, prueba y checkpoint. Continúa sin pedir nueva aprobación de la paleta o de cada cambio reversible.</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016"/>
        <w:gridCol w:w="4104"/>
        <w:gridCol w:w="3989"/>
      </w:tblGrid>
      <w:tr>
        <w:trPr>
          <w:cantSplit/>
          <w:tblHeader/>
        </w:trPr>
        <w:tc>
          <w:tcPr>
            <w:tcW w:type="dxa" w:w="2016"/>
            <w:vAlign w:val="center"/>
            <w:shd w:fill="001030"/>
          </w:tcPr>
          <w:p>
            <w:pPr>
              <w:pStyle w:val="TableBody"/>
            </w:pPr>
            <w:r>
              <w:rPr>
                <w:b/>
                <w:color w:val="FFFFFF"/>
                <w:sz w:val="18"/>
              </w:rPr>
              <w:t>Lote</w:t>
            </w:r>
          </w:p>
        </w:tc>
        <w:tc>
          <w:tcPr>
            <w:tcW w:type="dxa" w:w="4104"/>
            <w:vAlign w:val="center"/>
            <w:shd w:fill="001030"/>
          </w:tcPr>
          <w:p>
            <w:pPr>
              <w:pStyle w:val="TableBody"/>
            </w:pPr>
            <w:r>
              <w:rPr>
                <w:b/>
                <w:color w:val="FFFFFF"/>
                <w:sz w:val="18"/>
              </w:rPr>
              <w:t>Implementación</w:t>
            </w:r>
          </w:p>
        </w:tc>
        <w:tc>
          <w:tcPr>
            <w:tcW w:type="dxa" w:w="3989"/>
            <w:vAlign w:val="center"/>
            <w:shd w:fill="001030"/>
          </w:tcPr>
          <w:p>
            <w:pPr>
              <w:pStyle w:val="TableBody"/>
            </w:pPr>
            <w:r>
              <w:rPr>
                <w:b/>
                <w:color w:val="FFFFFF"/>
                <w:sz w:val="18"/>
              </w:rPr>
              <w:t>Evidencia para avanzar</w:t>
            </w:r>
          </w:p>
        </w:tc>
      </w:tr>
      <w:tr>
        <w:trPr>
          <w:cantSplit/>
        </w:trPr>
        <w:tc>
          <w:tcPr>
            <w:tcW w:type="dxa" w:w="2016"/>
            <w:vAlign w:val="center"/>
            <w:shd w:fill="F7F9FD"/>
          </w:tcPr>
          <w:p>
            <w:pPr>
              <w:pStyle w:val="TableBody"/>
            </w:pPr>
            <w:r>
              <w:rPr>
                <w:sz w:val="18"/>
              </w:rPr>
              <w:t>A — Base y contexto</w:t>
            </w:r>
          </w:p>
        </w:tc>
        <w:tc>
          <w:tcPr>
            <w:tcW w:type="dxa" w:w="4104"/>
            <w:vAlign w:val="center"/>
            <w:shd w:fill="F7F9FD"/>
          </w:tcPr>
          <w:p>
            <w:pPr>
              <w:pStyle w:val="TableBody"/>
            </w:pPr>
            <w:r>
              <w:rPr>
                <w:sz w:val="18"/>
              </w:rPr>
              <w:t>Preflight, rama/worktree, instrucciones conciliadas, entorno de pruebas claro, baseline visual/funcional y configuración segura.</w:t>
            </w:r>
          </w:p>
        </w:tc>
        <w:tc>
          <w:tcPr>
            <w:tcW w:type="dxa" w:w="3989"/>
            <w:vAlign w:val="center"/>
            <w:shd w:fill="F7F9FD"/>
          </w:tcPr>
          <w:p>
            <w:pPr>
              <w:pStyle w:val="TableBody"/>
            </w:pPr>
            <w:r>
              <w:rPr>
                <w:sz w:val="18"/>
              </w:rPr>
              <w:t>HEAD y diferencias reconocidos; arranque base o fallo documentado y resuelto; datos protegidos.</w:t>
            </w:r>
          </w:p>
        </w:tc>
      </w:tr>
      <w:tr>
        <w:trPr>
          <w:cantSplit/>
        </w:trPr>
        <w:tc>
          <w:tcPr>
            <w:tcW w:type="dxa" w:w="2016"/>
            <w:vAlign w:val="center"/>
            <w:shd w:fill="FFFFFF"/>
          </w:tcPr>
          <w:p>
            <w:pPr>
              <w:pStyle w:val="TableBody"/>
            </w:pPr>
            <w:r>
              <w:rPr>
                <w:sz w:val="18"/>
              </w:rPr>
              <w:t>B — Identidad compartida</w:t>
            </w:r>
          </w:p>
        </w:tc>
        <w:tc>
          <w:tcPr>
            <w:tcW w:type="dxa" w:w="4104"/>
            <w:vAlign w:val="center"/>
            <w:shd w:fill="FFFFFF"/>
          </w:tcPr>
          <w:p>
            <w:pPr>
              <w:pStyle w:val="TableBody"/>
            </w:pPr>
            <w:r>
              <w:rPr>
                <w:sz w:val="18"/>
              </w:rPr>
              <w:t>Marca, tokens, favicon, fuentes provisionales, componentes, login y portales visualmente coherentes.</w:t>
            </w:r>
          </w:p>
        </w:tc>
        <w:tc>
          <w:tcPr>
            <w:tcW w:type="dxa" w:w="3989"/>
            <w:vAlign w:val="center"/>
            <w:shd w:fill="FFFFFF"/>
          </w:tcPr>
          <w:p>
            <w:pPr>
              <w:pStyle w:val="TableBody"/>
            </w:pPr>
            <w:r>
              <w:rPr>
                <w:sz w:val="18"/>
              </w:rPr>
              <w:t>Capturas nativas de superficies claras/oscuras; sin mezcla dorada, logo genérico ni estilos dislocados.</w:t>
            </w:r>
          </w:p>
        </w:tc>
      </w:tr>
      <w:tr>
        <w:trPr>
          <w:cantSplit/>
        </w:trPr>
        <w:tc>
          <w:tcPr>
            <w:tcW w:type="dxa" w:w="2016"/>
            <w:vAlign w:val="center"/>
            <w:shd w:fill="F7F9FD"/>
          </w:tcPr>
          <w:p>
            <w:pPr>
              <w:pStyle w:val="TableBody"/>
            </w:pPr>
            <w:r>
              <w:rPr>
                <w:sz w:val="18"/>
              </w:rPr>
              <w:t>C — Home y movimiento</w:t>
            </w:r>
          </w:p>
        </w:tc>
        <w:tc>
          <w:tcPr>
            <w:tcW w:type="dxa" w:w="4104"/>
            <w:vAlign w:val="center"/>
            <w:shd w:fill="F7F9FD"/>
          </w:tcPr>
          <w:p>
            <w:pPr>
              <w:pStyle w:val="TableBody"/>
            </w:pPr>
            <w:r>
              <w:rPr>
                <w:sz w:val="18"/>
              </w:rPr>
              <w:t>H01–H08, navegación contextual, mobile, páginas públicas principales y statement reversible.</w:t>
            </w:r>
          </w:p>
        </w:tc>
        <w:tc>
          <w:tcPr>
            <w:tcW w:type="dxa" w:w="3989"/>
            <w:vAlign w:val="center"/>
            <w:shd w:fill="F7F9FD"/>
          </w:tcPr>
          <w:p>
            <w:pPr>
              <w:pStyle w:val="TableBody"/>
            </w:pPr>
            <w:r>
              <w:rPr>
                <w:sz w:val="18"/>
              </w:rPr>
              <w:t>Recorrido de scroll ida/vuelta y reducción; rutas/menú reales en escritorio y móvil.</w:t>
            </w:r>
          </w:p>
        </w:tc>
      </w:tr>
      <w:tr>
        <w:trPr>
          <w:cantSplit/>
        </w:trPr>
        <w:tc>
          <w:tcPr>
            <w:tcW w:type="dxa" w:w="2016"/>
            <w:vAlign w:val="center"/>
            <w:shd w:fill="FFFFFF"/>
          </w:tcPr>
          <w:p>
            <w:pPr>
              <w:pStyle w:val="TableBody"/>
            </w:pPr>
            <w:r>
              <w:rPr>
                <w:sz w:val="18"/>
              </w:rPr>
              <w:t>D — Viaje y borrador</w:t>
            </w:r>
          </w:p>
        </w:tc>
        <w:tc>
          <w:tcPr>
            <w:tcW w:type="dxa" w:w="4104"/>
            <w:vAlign w:val="center"/>
            <w:shd w:fill="FFFFFF"/>
          </w:tcPr>
          <w:p>
            <w:pPr>
              <w:pStyle w:val="TableBody"/>
            </w:pPr>
            <w:r>
              <w:rPr>
                <w:sz w:val="18"/>
              </w:rPr>
              <w:t>Home/servicios/flota → wizard, campos, modos, fecha/zona, catálogo e idempotencia.</w:t>
            </w:r>
          </w:p>
        </w:tc>
        <w:tc>
          <w:tcPr>
            <w:tcW w:type="dxa" w:w="3989"/>
            <w:vAlign w:val="center"/>
            <w:shd w:fill="FFFFFF"/>
          </w:tcPr>
          <w:p>
            <w:pPr>
              <w:pStyle w:val="TableBody"/>
            </w:pPr>
            <w:r>
              <w:rPr>
                <w:sz w:val="18"/>
              </w:rPr>
              <w:t>Payload real y persistencia, edición/back, fallos/red/reintentos sin duplicados.</w:t>
            </w:r>
          </w:p>
        </w:tc>
      </w:tr>
      <w:tr>
        <w:trPr>
          <w:cantSplit/>
        </w:trPr>
        <w:tc>
          <w:tcPr>
            <w:tcW w:type="dxa" w:w="2016"/>
            <w:vAlign w:val="center"/>
            <w:shd w:fill="F7F9FD"/>
          </w:tcPr>
          <w:p>
            <w:pPr>
              <w:pStyle w:val="TableBody"/>
            </w:pPr>
            <w:r>
              <w:rPr>
                <w:sz w:val="18"/>
              </w:rPr>
              <w:t>E — Cuenta y continuidad</w:t>
            </w:r>
          </w:p>
        </w:tc>
        <w:tc>
          <w:tcPr>
            <w:tcW w:type="dxa" w:w="4104"/>
            <w:vAlign w:val="center"/>
            <w:shd w:fill="F7F9FD"/>
          </w:tcPr>
          <w:p>
            <w:pPr>
              <w:pStyle w:val="TableBody"/>
            </w:pPr>
            <w:r>
              <w:rPr>
                <w:sz w:val="18"/>
              </w:rPr>
              <w:t>Registro, verificación, reset, login, logout y retorno; pasajero separado.</w:t>
            </w:r>
          </w:p>
        </w:tc>
        <w:tc>
          <w:tcPr>
            <w:tcW w:type="dxa" w:w="3989"/>
            <w:vAlign w:val="center"/>
            <w:shd w:fill="F7F9FD"/>
          </w:tcPr>
          <w:p>
            <w:pPr>
              <w:pStyle w:val="TableBody"/>
            </w:pPr>
            <w:r>
              <w:rPr>
                <w:sz w:val="18"/>
              </w:rPr>
              <w:t>Ciclo completo en servidor, compatibilidad usuarios previos y aislamiento.</w:t>
            </w:r>
          </w:p>
        </w:tc>
      </w:tr>
      <w:tr>
        <w:trPr>
          <w:cantSplit/>
        </w:trPr>
        <w:tc>
          <w:tcPr>
            <w:tcW w:type="dxa" w:w="2016"/>
            <w:vAlign w:val="center"/>
            <w:shd w:fill="FFFFFF"/>
          </w:tcPr>
          <w:p>
            <w:pPr>
              <w:pStyle w:val="TableBody"/>
            </w:pPr>
            <w:r>
              <w:rPr>
                <w:sz w:val="18"/>
              </w:rPr>
              <w:t>F — Portal y operación</w:t>
            </w:r>
          </w:p>
        </w:tc>
        <w:tc>
          <w:tcPr>
            <w:tcW w:type="dxa" w:w="4104"/>
            <w:vAlign w:val="center"/>
            <w:shd w:fill="FFFFFF"/>
          </w:tcPr>
          <w:p>
            <w:pPr>
              <w:pStyle w:val="TableBody"/>
            </w:pPr>
            <w:r>
              <w:rPr>
                <w:sz w:val="18"/>
              </w:rPr>
              <w:t>Solicitud visible al cliente y recepción interna; detalle, cotización manual y auditoría según alcance.</w:t>
            </w:r>
          </w:p>
        </w:tc>
        <w:tc>
          <w:tcPr>
            <w:tcW w:type="dxa" w:w="3989"/>
            <w:vAlign w:val="center"/>
            <w:shd w:fill="FFFFFF"/>
          </w:tcPr>
          <w:p>
            <w:pPr>
              <w:pStyle w:val="TableBody"/>
            </w:pPr>
            <w:r>
              <w:rPr>
                <w:sz w:val="18"/>
              </w:rPr>
              <w:t>Misma referencia en ambas vistas autorizadas; transiciones reales y notas privadas protegidas.</w:t>
            </w:r>
          </w:p>
        </w:tc>
      </w:tr>
      <w:tr>
        <w:trPr>
          <w:cantSplit/>
        </w:trPr>
        <w:tc>
          <w:tcPr>
            <w:tcW w:type="dxa" w:w="2016"/>
            <w:vAlign w:val="center"/>
            <w:shd w:fill="F7F9FD"/>
          </w:tcPr>
          <w:p>
            <w:pPr>
              <w:pStyle w:val="TableBody"/>
            </w:pPr>
            <w:r>
              <w:rPr>
                <w:sz w:val="18"/>
              </w:rPr>
              <w:t>G — Empresa e integraciones</w:t>
            </w:r>
          </w:p>
        </w:tc>
        <w:tc>
          <w:tcPr>
            <w:tcW w:type="dxa" w:w="4104"/>
            <w:vAlign w:val="center"/>
            <w:shd w:fill="F7F9FD"/>
          </w:tcPr>
          <w:p>
            <w:pPr>
              <w:pStyle w:val="TableBody"/>
            </w:pPr>
            <w:r>
              <w:rPr>
                <w:sz w:val="18"/>
              </w:rPr>
              <w:t>Roles y datos corporativos; adaptadores/proveedores solo cuando estén disponibles y autorizados.</w:t>
            </w:r>
          </w:p>
        </w:tc>
        <w:tc>
          <w:tcPr>
            <w:tcW w:type="dxa" w:w="3989"/>
            <w:vAlign w:val="center"/>
            <w:shd w:fill="F7F9FD"/>
          </w:tcPr>
          <w:p>
            <w:pPr>
              <w:pStyle w:val="TableBody"/>
            </w:pPr>
            <w:r>
              <w:rPr>
                <w:sz w:val="18"/>
              </w:rPr>
              <w:t>Matriz de permisos, fuentes reales y límites comerciales declarados.</w:t>
            </w:r>
          </w:p>
        </w:tc>
      </w:tr>
      <w:tr>
        <w:trPr>
          <w:cantSplit/>
        </w:trPr>
        <w:tc>
          <w:tcPr>
            <w:tcW w:type="dxa" w:w="2016"/>
            <w:vAlign w:val="center"/>
            <w:shd w:fill="FFFFFF"/>
          </w:tcPr>
          <w:p>
            <w:pPr>
              <w:pStyle w:val="TableBody"/>
            </w:pPr>
            <w:r>
              <w:rPr>
                <w:sz w:val="18"/>
              </w:rPr>
              <w:t>H — Aceptación y entrega</w:t>
            </w:r>
          </w:p>
        </w:tc>
        <w:tc>
          <w:tcPr>
            <w:tcW w:type="dxa" w:w="4104"/>
            <w:vAlign w:val="center"/>
            <w:shd w:fill="FFFFFF"/>
          </w:tcPr>
          <w:p>
            <w:pPr>
              <w:pStyle w:val="TableBody"/>
            </w:pPr>
            <w:r>
              <w:rPr>
                <w:sz w:val="18"/>
              </w:rPr>
              <w:t>Build nativo, MySQL aislado, navegador real, contenido, accesibilidad, seguridad, docs, commit y PR.</w:t>
            </w:r>
          </w:p>
        </w:tc>
        <w:tc>
          <w:tcPr>
            <w:tcW w:type="dxa" w:w="3989"/>
            <w:vAlign w:val="center"/>
            <w:shd w:fill="FFFFFF"/>
          </w:tcPr>
          <w:p>
            <w:pPr>
              <w:pStyle w:val="TableBody"/>
            </w:pPr>
            <w:r>
              <w:rPr>
                <w:sz w:val="18"/>
              </w:rPr>
              <w:t>Evidencia del commit exacto y comandos reproducibles. Despliegue comercial requiere autorización aparte.</w:t>
            </w:r>
          </w:p>
        </w:tc>
      </w:tr>
    </w:tbl>
    <w:p>
      <w:pPr>
        <w:spacing w:after="40"/>
      </w:pPr>
    </w:p>
    <w:p>
      <w:r>
        <w:rPr>
          <w:b/>
        </w:rPr>
        <w:t>Primer recorrido vertical que debes demostrar:</w:t>
      </w:r>
      <w:r>
        <w:t xml:space="preserve"> Home → datos conservados en booking → cuenta/verificación de prueba → regreso al borrador → solicitud guardada → referencia en la cuenta correcta → solicitud en recepción interna. Esta prueba impide que la entrega se reduzca a diseño estático.</w:t>
      </w:r>
    </w:p>
    <w:p>
      <w:r>
        <w:t>No ocultes todos los módulos hasta terminar ocho etapas, ni mantengas un estado indefinido de planificación. Cada lote entrega algo comprobable y conserva lo anterior. Cuando un proveedor bloquee un punto de G, registra la dependencia y continúa H para lo que sí existe, sin llamar a eso producción completa.</w:t>
      </w:r>
    </w:p>
    <w:p>
      <w:pPr>
        <w:pStyle w:val="Heading1"/>
      </w:pPr>
      <w:r>
        <w:t>29. Plan de pruebas y criterios verificables</w:t>
      </w:r>
    </w:p>
    <w:p>
      <w:pPr>
        <w:pStyle w:val="Heading2"/>
      </w:pPr>
      <w:r>
        <w:t>29.1 Capas de prueba distintas</w:t>
      </w:r>
    </w:p>
    <w:p>
      <w:r>
        <w:t xml:space="preserve">Distingue pruebas unitarias de lógica, integración HTTP, integración MySQL, navegador real y comparación visual. El script original </w:t>
      </w:r>
      <w:r>
        <w:rPr>
          <w:rFonts w:ascii="Liberation Mono" w:hAnsi="Liberation Mono"/>
          <w:color w:val="001030"/>
          <w:sz w:val="18"/>
        </w:rPr>
        <w:t>test:e2e</w:t>
      </w:r>
      <w:r>
        <w:t xml:space="preserve"> era integración HTTP; </w:t>
      </w:r>
      <w:r>
        <w:rPr>
          <w:rFonts w:ascii="Liberation Mono" w:hAnsi="Liberation Mono"/>
          <w:color w:val="001030"/>
          <w:sz w:val="18"/>
        </w:rPr>
        <w:t>test:visual</w:t>
      </w:r>
      <w:r>
        <w:t xml:space="preserve"> comprobaba un manifiesto de evidencia previa. Sus nombres no garantizan un recorrido navegador. Las pruebas anteriores de runtime portátil tampoco validan Vinext/React 19. [D02 parte III §15; C04]</w:t>
      </w:r>
    </w:p>
    <w:p>
      <w:r>
        <w:t>Ejecuta tests pertinentes después de cada lote y la suite completa al cierre. Reporta comandos, versión de herramientas, modo de datos, base efectiva, commit y código de salida. No sumes contenedores de test o revisiones estáticas como si fueran casos funcionales independientes. No reutilices los números 67, 91 o 12 de informes previos como evidencia nueva.</w:t>
      </w:r>
    </w:p>
    <w:p>
      <w:r>
        <w:t>Para capturas, usa el servidor del workspace original. No sustituyas React 19 por React 18, un DOM artificial por un navegador completo o stubs por módulos reales para declarar éxito del proyecto. Esos recursos pueden ser diagnósticos auxiliares, siempre identificados como tales.</w:t>
      </w:r>
    </w:p>
    <w:p>
      <w:pPr>
        <w:pStyle w:val="Heading2"/>
      </w:pPr>
      <w:r>
        <w:t>29.2 Matriz de aceptación</w:t>
      </w:r>
    </w:p>
    <w:p>
      <w:r>
        <w:t xml:space="preserve">Los identificadores </w:t>
      </w:r>
      <w:r>
        <w:rPr>
          <w:rFonts w:ascii="Liberation Mono" w:hAnsi="Liberation Mono"/>
          <w:color w:val="001030"/>
          <w:sz w:val="18"/>
        </w:rPr>
        <w:t>QA-</w:t>
      </w:r>
      <w:r>
        <w:t xml:space="preserve"> distinguen estas pruebas de los IDs de las fuentes. Cada fila es un caso que debes convertir en comprobación reproducible con condición, acción y resultado. </w:t>
      </w:r>
      <w:r>
        <w:rPr>
          <w:rFonts w:ascii="Liberation Mono" w:hAnsi="Liberation Mono"/>
          <w:color w:val="001030"/>
          <w:sz w:val="18"/>
        </w:rPr>
        <w:t>UI</w:t>
      </w:r>
      <w:r>
        <w:t xml:space="preserve"> = navegador/interacción; </w:t>
      </w:r>
      <w:r>
        <w:rPr>
          <w:rFonts w:ascii="Liberation Mono" w:hAnsi="Liberation Mono"/>
          <w:color w:val="001030"/>
          <w:sz w:val="18"/>
        </w:rPr>
        <w:t>API</w:t>
      </w:r>
      <w:r>
        <w:t xml:space="preserve"> = petición real; </w:t>
      </w:r>
      <w:r>
        <w:rPr>
          <w:rFonts w:ascii="Liberation Mono" w:hAnsi="Liberation Mono"/>
          <w:color w:val="001030"/>
          <w:sz w:val="18"/>
        </w:rPr>
        <w:t>DB</w:t>
      </w:r>
      <w:r>
        <w:t xml:space="preserve"> = base aislada; </w:t>
      </w:r>
      <w:r>
        <w:rPr>
          <w:rFonts w:ascii="Liberation Mono" w:hAnsi="Liberation Mono"/>
          <w:color w:val="001030"/>
          <w:sz w:val="18"/>
        </w:rPr>
        <w:t>VIS</w:t>
      </w:r>
      <w:r>
        <w:t xml:space="preserve"> = comparación visual; </w:t>
      </w:r>
      <w:r>
        <w:rPr>
          <w:rFonts w:ascii="Liberation Mono" w:hAnsi="Liberation Mono"/>
          <w:color w:val="001030"/>
          <w:sz w:val="18"/>
        </w:rPr>
        <w:t>CFG</w:t>
      </w:r>
      <w:r>
        <w:t xml:space="preserve"> = configuración/Git. No todas las comprobaciones pueden automatizarse completamente; registra las manuales.</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994"/>
        <w:gridCol w:w="7992"/>
        <w:gridCol w:w="1123"/>
      </w:tblGrid>
      <w:tr>
        <w:trPr>
          <w:cantSplit/>
          <w:tblHeader/>
        </w:trPr>
        <w:tc>
          <w:tcPr>
            <w:tcW w:type="dxa" w:w="994"/>
            <w:vAlign w:val="center"/>
            <w:shd w:fill="001030"/>
          </w:tcPr>
          <w:p>
            <w:pPr>
              <w:pStyle w:val="TableBody"/>
            </w:pPr>
            <w:r>
              <w:rPr>
                <w:b/>
                <w:color w:val="FFFFFF"/>
                <w:sz w:val="18"/>
              </w:rPr>
              <w:t>ID</w:t>
            </w:r>
          </w:p>
        </w:tc>
        <w:tc>
          <w:tcPr>
            <w:tcW w:type="dxa" w:w="7992"/>
            <w:vAlign w:val="center"/>
            <w:shd w:fill="001030"/>
          </w:tcPr>
          <w:p>
            <w:pPr>
              <w:pStyle w:val="TableBody"/>
            </w:pPr>
            <w:r>
              <w:rPr>
                <w:b/>
                <w:color w:val="FFFFFF"/>
                <w:sz w:val="18"/>
              </w:rPr>
              <w:t>Caso y resultado exigido</w:t>
            </w:r>
          </w:p>
        </w:tc>
        <w:tc>
          <w:tcPr>
            <w:tcW w:type="dxa" w:w="1123"/>
            <w:vAlign w:val="center"/>
            <w:shd w:fill="001030"/>
          </w:tcPr>
          <w:p>
            <w:pPr>
              <w:pStyle w:val="TableBody"/>
            </w:pPr>
            <w:r>
              <w:rPr>
                <w:b/>
                <w:color w:val="FFFFFF"/>
                <w:sz w:val="18"/>
              </w:rPr>
              <w:t>Capa</w:t>
            </w:r>
          </w:p>
        </w:tc>
      </w:tr>
      <w:tr>
        <w:trPr>
          <w:cantSplit/>
        </w:trPr>
        <w:tc>
          <w:tcPr>
            <w:tcW w:type="dxa" w:w="994"/>
            <w:vAlign w:val="center"/>
            <w:shd w:fill="F7F9FD"/>
          </w:tcPr>
          <w:p>
            <w:pPr>
              <w:pStyle w:val="TableBody"/>
            </w:pPr>
            <w:r>
              <w:rPr>
                <w:sz w:val="18"/>
              </w:rPr>
              <w:t>QA-A01</w:t>
            </w:r>
          </w:p>
        </w:tc>
        <w:tc>
          <w:tcPr>
            <w:tcW w:type="dxa" w:w="7992"/>
            <w:vAlign w:val="center"/>
            <w:shd w:fill="F7F9FD"/>
          </w:tcPr>
          <w:p>
            <w:pPr>
              <w:pStyle w:val="TableBody"/>
            </w:pPr>
            <w:r>
              <w:rPr>
                <w:sz w:val="18"/>
              </w:rPr>
              <w:t>Detectar repo, rama y HEAD correctos; no trabajar en el README de main.</w:t>
            </w:r>
          </w:p>
        </w:tc>
        <w:tc>
          <w:tcPr>
            <w:tcW w:type="dxa" w:w="1123"/>
            <w:vAlign w:val="center"/>
            <w:shd w:fill="F7F9FD"/>
          </w:tcPr>
          <w:p>
            <w:pPr>
              <w:pStyle w:val="TableBody"/>
            </w:pPr>
            <w:r>
              <w:rPr>
                <w:sz w:val="18"/>
              </w:rPr>
              <w:t>CFG</w:t>
            </w:r>
          </w:p>
        </w:tc>
      </w:tr>
      <w:tr>
        <w:trPr>
          <w:cantSplit/>
        </w:trPr>
        <w:tc>
          <w:tcPr>
            <w:tcW w:type="dxa" w:w="994"/>
            <w:vAlign w:val="center"/>
            <w:shd w:fill="FFFFFF"/>
          </w:tcPr>
          <w:p>
            <w:pPr>
              <w:pStyle w:val="TableBody"/>
            </w:pPr>
            <w:r>
              <w:rPr>
                <w:sz w:val="18"/>
              </w:rPr>
              <w:t>QA-A02</w:t>
            </w:r>
          </w:p>
        </w:tc>
        <w:tc>
          <w:tcPr>
            <w:tcW w:type="dxa" w:w="7992"/>
            <w:vAlign w:val="center"/>
            <w:shd w:fill="FFFFFF"/>
          </w:tcPr>
          <w:p>
            <w:pPr>
              <w:pStyle w:val="TableBody"/>
            </w:pPr>
            <w:r>
              <w:rPr>
                <w:sz w:val="18"/>
              </w:rPr>
              <w:t>Encontrar cambios locales y preservarlos; ninguna limpieza destructiva.</w:t>
            </w:r>
          </w:p>
        </w:tc>
        <w:tc>
          <w:tcPr>
            <w:tcW w:type="dxa" w:w="1123"/>
            <w:vAlign w:val="center"/>
            <w:shd w:fill="FFFFFF"/>
          </w:tcPr>
          <w:p>
            <w:pPr>
              <w:pStyle w:val="TableBody"/>
            </w:pPr>
            <w:r>
              <w:rPr>
                <w:sz w:val="18"/>
              </w:rPr>
              <w:t>CFG</w:t>
            </w:r>
          </w:p>
        </w:tc>
      </w:tr>
      <w:tr>
        <w:trPr>
          <w:cantSplit/>
        </w:trPr>
        <w:tc>
          <w:tcPr>
            <w:tcW w:type="dxa" w:w="994"/>
            <w:vAlign w:val="center"/>
            <w:shd w:fill="F7F9FD"/>
          </w:tcPr>
          <w:p>
            <w:pPr>
              <w:pStyle w:val="TableBody"/>
            </w:pPr>
            <w:r>
              <w:rPr>
                <w:sz w:val="18"/>
              </w:rPr>
              <w:t>QA-A03</w:t>
            </w:r>
          </w:p>
        </w:tc>
        <w:tc>
          <w:tcPr>
            <w:tcW w:type="dxa" w:w="7992"/>
            <w:vAlign w:val="center"/>
            <w:shd w:fill="F7F9FD"/>
          </w:tcPr>
          <w:p>
            <w:pPr>
              <w:pStyle w:val="TableBody"/>
            </w:pPr>
            <w:r>
              <w:rPr>
                <w:sz w:val="18"/>
              </w:rPr>
              <w:t xml:space="preserve">Referencias privadas, </w:t>
            </w:r>
            <w:r>
              <w:rPr>
                <w:rFonts w:ascii="Liberation Mono" w:hAnsi="Liberation Mono"/>
                <w:color w:val="001030"/>
                <w:sz w:val="18"/>
              </w:rPr>
              <w:t>.env</w:t>
            </w:r>
            <w:r>
              <w:rPr>
                <w:sz w:val="18"/>
              </w:rPr>
              <w:t>, buzón y datos de prueba no quedan staged.</w:t>
            </w:r>
          </w:p>
        </w:tc>
        <w:tc>
          <w:tcPr>
            <w:tcW w:type="dxa" w:w="1123"/>
            <w:vAlign w:val="center"/>
            <w:shd w:fill="F7F9FD"/>
          </w:tcPr>
          <w:p>
            <w:pPr>
              <w:pStyle w:val="TableBody"/>
            </w:pPr>
            <w:r>
              <w:rPr>
                <w:sz w:val="18"/>
              </w:rPr>
              <w:t>CFG</w:t>
            </w:r>
          </w:p>
        </w:tc>
      </w:tr>
      <w:tr>
        <w:trPr>
          <w:cantSplit/>
        </w:trPr>
        <w:tc>
          <w:tcPr>
            <w:tcW w:type="dxa" w:w="994"/>
            <w:vAlign w:val="center"/>
            <w:shd w:fill="FFFFFF"/>
          </w:tcPr>
          <w:p>
            <w:pPr>
              <w:pStyle w:val="TableBody"/>
            </w:pPr>
            <w:r>
              <w:rPr>
                <w:sz w:val="18"/>
              </w:rPr>
              <w:t>QA-A04</w:t>
            </w:r>
          </w:p>
        </w:tc>
        <w:tc>
          <w:tcPr>
            <w:tcW w:type="dxa" w:w="7992"/>
            <w:vAlign w:val="center"/>
            <w:shd w:fill="FFFFFF"/>
          </w:tcPr>
          <w:p>
            <w:pPr>
              <w:pStyle w:val="TableBody"/>
            </w:pPr>
            <w:r>
              <w:rPr>
                <w:sz w:val="18"/>
              </w:rPr>
              <w:t>Instalación con lockfile fijo; error no se oculta regenerándolo.</w:t>
            </w:r>
          </w:p>
        </w:tc>
        <w:tc>
          <w:tcPr>
            <w:tcW w:type="dxa" w:w="1123"/>
            <w:vAlign w:val="center"/>
            <w:shd w:fill="FFFFFF"/>
          </w:tcPr>
          <w:p>
            <w:pPr>
              <w:pStyle w:val="TableBody"/>
            </w:pPr>
            <w:r>
              <w:rPr>
                <w:sz w:val="18"/>
              </w:rPr>
              <w:t>CFG</w:t>
            </w:r>
          </w:p>
        </w:tc>
      </w:tr>
      <w:tr>
        <w:trPr>
          <w:cantSplit/>
        </w:trPr>
        <w:tc>
          <w:tcPr>
            <w:tcW w:type="dxa" w:w="994"/>
            <w:vAlign w:val="center"/>
            <w:shd w:fill="F7F9FD"/>
          </w:tcPr>
          <w:p>
            <w:pPr>
              <w:pStyle w:val="TableBody"/>
            </w:pPr>
            <w:r>
              <w:rPr>
                <w:sz w:val="18"/>
              </w:rPr>
              <w:t>QA-A05</w:t>
            </w:r>
          </w:p>
        </w:tc>
        <w:tc>
          <w:tcPr>
            <w:tcW w:type="dxa" w:w="7992"/>
            <w:vAlign w:val="center"/>
            <w:shd w:fill="F7F9FD"/>
          </w:tcPr>
          <w:p>
            <w:pPr>
              <w:pStyle w:val="TableBody"/>
            </w:pPr>
            <w:r>
              <w:rPr>
                <w:sz w:val="18"/>
              </w:rPr>
              <w:t>Runtime corresponde a los manifiestos, no al servidor portátil.</w:t>
            </w:r>
          </w:p>
        </w:tc>
        <w:tc>
          <w:tcPr>
            <w:tcW w:type="dxa" w:w="1123"/>
            <w:vAlign w:val="center"/>
            <w:shd w:fill="F7F9FD"/>
          </w:tcPr>
          <w:p>
            <w:pPr>
              <w:pStyle w:val="TableBody"/>
            </w:pPr>
            <w:r>
              <w:rPr>
                <w:sz w:val="18"/>
              </w:rPr>
              <w:t>CFG</w:t>
            </w:r>
          </w:p>
        </w:tc>
      </w:tr>
      <w:tr>
        <w:trPr>
          <w:cantSplit/>
        </w:trPr>
        <w:tc>
          <w:tcPr>
            <w:tcW w:type="dxa" w:w="994"/>
            <w:vAlign w:val="center"/>
            <w:shd w:fill="FFFFFF"/>
          </w:tcPr>
          <w:p>
            <w:pPr>
              <w:pStyle w:val="TableBody"/>
            </w:pPr>
            <w:r>
              <w:rPr>
                <w:sz w:val="18"/>
              </w:rPr>
              <w:t>QA-B01</w:t>
            </w:r>
          </w:p>
        </w:tc>
        <w:tc>
          <w:tcPr>
            <w:tcW w:type="dxa" w:w="7992"/>
            <w:vAlign w:val="center"/>
            <w:shd w:fill="FFFFFF"/>
          </w:tcPr>
          <w:p>
            <w:pPr>
              <w:pStyle w:val="TableBody"/>
            </w:pPr>
            <w:r>
              <w:rPr>
                <w:sz w:val="18"/>
              </w:rPr>
              <w:t>Logo y descriptor fieles en Home, login, footer y portales.</w:t>
            </w:r>
          </w:p>
        </w:tc>
        <w:tc>
          <w:tcPr>
            <w:tcW w:type="dxa" w:w="1123"/>
            <w:vAlign w:val="center"/>
            <w:shd w:fill="FFFFFF"/>
          </w:tcPr>
          <w:p>
            <w:pPr>
              <w:pStyle w:val="TableBody"/>
            </w:pPr>
            <w:r>
              <w:rPr>
                <w:sz w:val="18"/>
              </w:rPr>
              <w:t>VIS</w:t>
            </w:r>
          </w:p>
        </w:tc>
      </w:tr>
      <w:tr>
        <w:trPr>
          <w:cantSplit/>
        </w:trPr>
        <w:tc>
          <w:tcPr>
            <w:tcW w:type="dxa" w:w="994"/>
            <w:vAlign w:val="center"/>
            <w:shd w:fill="F7F9FD"/>
          </w:tcPr>
          <w:p>
            <w:pPr>
              <w:pStyle w:val="TableBody"/>
            </w:pPr>
            <w:r>
              <w:rPr>
                <w:sz w:val="18"/>
              </w:rPr>
              <w:t>QA-B02</w:t>
            </w:r>
          </w:p>
        </w:tc>
        <w:tc>
          <w:tcPr>
            <w:tcW w:type="dxa" w:w="7992"/>
            <w:vAlign w:val="center"/>
            <w:shd w:fill="F7F9FD"/>
          </w:tcPr>
          <w:p>
            <w:pPr>
              <w:pStyle w:val="TableBody"/>
            </w:pPr>
            <w:r>
              <w:rPr>
                <w:sz w:val="18"/>
              </w:rPr>
              <w:t>Paleta vigente transversal; sin champagne/dorados heredados como identidad.</w:t>
            </w:r>
          </w:p>
        </w:tc>
        <w:tc>
          <w:tcPr>
            <w:tcW w:type="dxa" w:w="1123"/>
            <w:vAlign w:val="center"/>
            <w:shd w:fill="F7F9FD"/>
          </w:tcPr>
          <w:p>
            <w:pPr>
              <w:pStyle w:val="TableBody"/>
            </w:pPr>
            <w:r>
              <w:rPr>
                <w:sz w:val="18"/>
              </w:rPr>
              <w:t>VIS</w:t>
            </w:r>
          </w:p>
        </w:tc>
      </w:tr>
      <w:tr>
        <w:trPr>
          <w:cantSplit/>
        </w:trPr>
        <w:tc>
          <w:tcPr>
            <w:tcW w:type="dxa" w:w="994"/>
            <w:vAlign w:val="center"/>
            <w:shd w:fill="FFFFFF"/>
          </w:tcPr>
          <w:p>
            <w:pPr>
              <w:pStyle w:val="TableBody"/>
            </w:pPr>
            <w:r>
              <w:rPr>
                <w:sz w:val="18"/>
              </w:rPr>
              <w:t>QA-B03</w:t>
            </w:r>
          </w:p>
        </w:tc>
        <w:tc>
          <w:tcPr>
            <w:tcW w:type="dxa" w:w="7992"/>
            <w:vAlign w:val="center"/>
            <w:shd w:fill="FFFFFF"/>
          </w:tcPr>
          <w:p>
            <w:pPr>
              <w:pStyle w:val="TableBody"/>
            </w:pPr>
            <w:r>
              <w:rPr>
                <w:sz w:val="18"/>
              </w:rPr>
              <w:t>Header sobre foto, blanco, azul y marino con contraste legible.</w:t>
            </w:r>
          </w:p>
        </w:tc>
        <w:tc>
          <w:tcPr>
            <w:tcW w:type="dxa" w:w="1123"/>
            <w:vAlign w:val="center"/>
            <w:shd w:fill="FFFFFF"/>
          </w:tcPr>
          <w:p>
            <w:pPr>
              <w:pStyle w:val="TableBody"/>
            </w:pPr>
            <w:r>
              <w:rPr>
                <w:sz w:val="18"/>
              </w:rPr>
              <w:t>UI/VIS</w:t>
            </w:r>
          </w:p>
        </w:tc>
      </w:tr>
      <w:tr>
        <w:trPr>
          <w:cantSplit/>
        </w:trPr>
        <w:tc>
          <w:tcPr>
            <w:tcW w:type="dxa" w:w="994"/>
            <w:vAlign w:val="center"/>
            <w:shd w:fill="F7F9FD"/>
          </w:tcPr>
          <w:p>
            <w:pPr>
              <w:pStyle w:val="TableBody"/>
            </w:pPr>
            <w:r>
              <w:rPr>
                <w:sz w:val="18"/>
              </w:rPr>
              <w:t>QA-B04</w:t>
            </w:r>
          </w:p>
        </w:tc>
        <w:tc>
          <w:tcPr>
            <w:tcW w:type="dxa" w:w="7992"/>
            <w:vAlign w:val="center"/>
            <w:shd w:fill="F7F9FD"/>
          </w:tcPr>
          <w:p>
            <w:pPr>
              <w:pStyle w:val="TableBody"/>
            </w:pPr>
            <w:r>
              <w:rPr>
                <w:sz w:val="18"/>
              </w:rPr>
              <w:t>Cruzar límite de sección lentamente en ambos sentidos sin parpadeo.</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QA-B05</w:t>
            </w:r>
          </w:p>
        </w:tc>
        <w:tc>
          <w:tcPr>
            <w:tcW w:type="dxa" w:w="7992"/>
            <w:vAlign w:val="center"/>
            <w:shd w:fill="FFFFFF"/>
          </w:tcPr>
          <w:p>
            <w:pPr>
              <w:pStyle w:val="TableBody"/>
            </w:pPr>
            <w:r>
              <w:rPr>
                <w:sz w:val="18"/>
              </w:rPr>
              <w:t>Recarga inicial no muestra estilos desordenados antes de hidratar.</w:t>
            </w:r>
          </w:p>
        </w:tc>
        <w:tc>
          <w:tcPr>
            <w:tcW w:type="dxa" w:w="1123"/>
            <w:vAlign w:val="center"/>
            <w:shd w:fill="FFFFFF"/>
          </w:tcPr>
          <w:p>
            <w:pPr>
              <w:pStyle w:val="TableBody"/>
            </w:pPr>
            <w:r>
              <w:rPr>
                <w:sz w:val="18"/>
              </w:rPr>
              <w:t>UI/VIS</w:t>
            </w:r>
          </w:p>
        </w:tc>
      </w:tr>
      <w:tr>
        <w:trPr>
          <w:cantSplit/>
        </w:trPr>
        <w:tc>
          <w:tcPr>
            <w:tcW w:type="dxa" w:w="994"/>
            <w:vAlign w:val="center"/>
            <w:shd w:fill="F7F9FD"/>
          </w:tcPr>
          <w:p>
            <w:pPr>
              <w:pStyle w:val="TableBody"/>
            </w:pPr>
            <w:r>
              <w:rPr>
                <w:sz w:val="18"/>
              </w:rPr>
              <w:t>QA-B06</w:t>
            </w:r>
          </w:p>
        </w:tc>
        <w:tc>
          <w:tcPr>
            <w:tcW w:type="dxa" w:w="7992"/>
            <w:vAlign w:val="center"/>
            <w:shd w:fill="F7F9FD"/>
          </w:tcPr>
          <w:p>
            <w:pPr>
              <w:pStyle w:val="TableBody"/>
            </w:pPr>
            <w:r>
              <w:rPr>
                <w:sz w:val="18"/>
              </w:rPr>
              <w:t>Falta de foto no oculta texto, navegación ni formulario.</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QA-B07</w:t>
            </w:r>
          </w:p>
        </w:tc>
        <w:tc>
          <w:tcPr>
            <w:tcW w:type="dxa" w:w="7992"/>
            <w:vAlign w:val="center"/>
            <w:shd w:fill="FFFFFF"/>
          </w:tcPr>
          <w:p>
            <w:pPr>
              <w:pStyle w:val="TableBody"/>
            </w:pPr>
            <w:r>
              <w:rPr>
                <w:sz w:val="18"/>
              </w:rPr>
              <w:t>Fonts lentas/fallidas no dejan títulos invisibles ni destruyen el layout.</w:t>
            </w:r>
          </w:p>
        </w:tc>
        <w:tc>
          <w:tcPr>
            <w:tcW w:type="dxa" w:w="1123"/>
            <w:vAlign w:val="center"/>
            <w:shd w:fill="FFFFFF"/>
          </w:tcPr>
          <w:p>
            <w:pPr>
              <w:pStyle w:val="TableBody"/>
            </w:pPr>
            <w:r>
              <w:rPr>
                <w:sz w:val="18"/>
              </w:rPr>
              <w:t>UI/VIS</w:t>
            </w:r>
          </w:p>
        </w:tc>
      </w:tr>
      <w:tr>
        <w:trPr>
          <w:cantSplit/>
        </w:trPr>
        <w:tc>
          <w:tcPr>
            <w:tcW w:type="dxa" w:w="994"/>
            <w:vAlign w:val="center"/>
            <w:shd w:fill="F7F9FD"/>
          </w:tcPr>
          <w:p>
            <w:pPr>
              <w:pStyle w:val="TableBody"/>
            </w:pPr>
            <w:r>
              <w:rPr>
                <w:sz w:val="18"/>
              </w:rPr>
              <w:t>QA-B08</w:t>
            </w:r>
          </w:p>
        </w:tc>
        <w:tc>
          <w:tcPr>
            <w:tcW w:type="dxa" w:w="7992"/>
            <w:vAlign w:val="center"/>
            <w:shd w:fill="F7F9FD"/>
          </w:tcPr>
          <w:p>
            <w:pPr>
              <w:pStyle w:val="TableBody"/>
            </w:pPr>
            <w:r>
              <w:rPr>
                <w:sz w:val="18"/>
              </w:rPr>
              <w:t>Menú móvil abre/cierra con botón, Escape y navegación, sin scroll bloqueado.</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QA-B09</w:t>
            </w:r>
          </w:p>
        </w:tc>
        <w:tc>
          <w:tcPr>
            <w:tcW w:type="dxa" w:w="7992"/>
            <w:vAlign w:val="center"/>
            <w:shd w:fill="FFFFFF"/>
          </w:tcPr>
          <w:p>
            <w:pPr>
              <w:pStyle w:val="TableBody"/>
            </w:pPr>
            <w:r>
              <w:rPr>
                <w:sz w:val="18"/>
              </w:rPr>
              <w:t xml:space="preserve">Navegar a </w:t>
            </w:r>
            <w:r>
              <w:rPr>
                <w:rFonts w:ascii="Liberation Mono" w:hAnsi="Liberation Mono"/>
                <w:color w:val="001030"/>
                <w:sz w:val="18"/>
              </w:rPr>
              <w:t>/#experience</w:t>
            </w:r>
            <w:r>
              <w:rPr>
                <w:sz w:val="18"/>
              </w:rPr>
              <w:t xml:space="preserve"> cierra menú y llega a la sección correcta.</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QA-B10</w:t>
            </w:r>
          </w:p>
        </w:tc>
        <w:tc>
          <w:tcPr>
            <w:tcW w:type="dxa" w:w="7992"/>
            <w:vAlign w:val="center"/>
            <w:shd w:fill="F7F9FD"/>
          </w:tcPr>
          <w:p>
            <w:pPr>
              <w:pStyle w:val="TableBody"/>
            </w:pPr>
            <w:r>
              <w:rPr>
                <w:sz w:val="18"/>
              </w:rPr>
              <w:t>Cambiar idioma conserva viaje, sesión, ruta y valores no traducibles.</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QA-B11</w:t>
            </w:r>
          </w:p>
        </w:tc>
        <w:tc>
          <w:tcPr>
            <w:tcW w:type="dxa" w:w="7992"/>
            <w:vAlign w:val="center"/>
            <w:shd w:fill="FFFFFF"/>
          </w:tcPr>
          <w:p>
            <w:pPr>
              <w:pStyle w:val="TableBody"/>
            </w:pPr>
            <w:r>
              <w:rPr>
                <w:sz w:val="18"/>
              </w:rPr>
              <w:t>No hay textos funcionales cortados o ilegibles a 320/390 px y zoom.</w:t>
            </w:r>
          </w:p>
        </w:tc>
        <w:tc>
          <w:tcPr>
            <w:tcW w:type="dxa" w:w="1123"/>
            <w:vAlign w:val="center"/>
            <w:shd w:fill="FFFFFF"/>
          </w:tcPr>
          <w:p>
            <w:pPr>
              <w:pStyle w:val="TableBody"/>
            </w:pPr>
            <w:r>
              <w:rPr>
                <w:sz w:val="18"/>
              </w:rPr>
              <w:t>UI/VIS</w:t>
            </w:r>
          </w:p>
        </w:tc>
      </w:tr>
      <w:tr>
        <w:trPr>
          <w:cantSplit/>
        </w:trPr>
        <w:tc>
          <w:tcPr>
            <w:tcW w:type="dxa" w:w="994"/>
            <w:vAlign w:val="center"/>
            <w:shd w:fill="F7F9FD"/>
          </w:tcPr>
          <w:p>
            <w:pPr>
              <w:pStyle w:val="TableBody"/>
            </w:pPr>
            <w:r>
              <w:rPr>
                <w:sz w:val="18"/>
              </w:rPr>
              <w:t>QA-B12</w:t>
            </w:r>
          </w:p>
        </w:tc>
        <w:tc>
          <w:tcPr>
            <w:tcW w:type="dxa" w:w="7992"/>
            <w:vAlign w:val="center"/>
            <w:shd w:fill="F7F9FD"/>
          </w:tcPr>
          <w:p>
            <w:pPr>
              <w:pStyle w:val="TableBody"/>
            </w:pPr>
            <w:r>
              <w:rPr>
                <w:sz w:val="18"/>
              </w:rPr>
              <w:t>Links de footer y acciones visibles tienen destino/operación real.</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QA-C01</w:t>
            </w:r>
          </w:p>
        </w:tc>
        <w:tc>
          <w:tcPr>
            <w:tcW w:type="dxa" w:w="7992"/>
            <w:vAlign w:val="center"/>
            <w:shd w:fill="FFFFFF"/>
          </w:tcPr>
          <w:p>
            <w:pPr>
              <w:pStyle w:val="TableBody"/>
            </w:pPr>
            <w:r>
              <w:rPr>
                <w:sz w:val="18"/>
              </w:rPr>
              <w:t>Statement en inicio/mitad/salida cambia según progreso local.</w:t>
            </w:r>
          </w:p>
        </w:tc>
        <w:tc>
          <w:tcPr>
            <w:tcW w:type="dxa" w:w="1123"/>
            <w:vAlign w:val="center"/>
            <w:shd w:fill="FFFFFF"/>
          </w:tcPr>
          <w:p>
            <w:pPr>
              <w:pStyle w:val="TableBody"/>
            </w:pPr>
            <w:r>
              <w:rPr>
                <w:sz w:val="18"/>
              </w:rPr>
              <w:t>UI/VIS</w:t>
            </w:r>
          </w:p>
        </w:tc>
      </w:tr>
      <w:tr>
        <w:trPr>
          <w:cantSplit/>
        </w:trPr>
        <w:tc>
          <w:tcPr>
            <w:tcW w:type="dxa" w:w="994"/>
            <w:vAlign w:val="center"/>
            <w:shd w:fill="F7F9FD"/>
          </w:tcPr>
          <w:p>
            <w:pPr>
              <w:pStyle w:val="TableBody"/>
            </w:pPr>
            <w:r>
              <w:rPr>
                <w:sz w:val="18"/>
              </w:rPr>
              <w:t>QA-C02</w:t>
            </w:r>
          </w:p>
        </w:tc>
        <w:tc>
          <w:tcPr>
            <w:tcW w:type="dxa" w:w="7992"/>
            <w:vAlign w:val="center"/>
            <w:shd w:fill="F7F9FD"/>
          </w:tcPr>
          <w:p>
            <w:pPr>
              <w:pStyle w:val="TableBody"/>
            </w:pPr>
            <w:r>
              <w:rPr>
                <w:sz w:val="18"/>
              </w:rPr>
              <w:t>Subir recupera escala/opacidad del mismo progreso, sin animación independiente.</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QA-C03</w:t>
            </w:r>
          </w:p>
        </w:tc>
        <w:tc>
          <w:tcPr>
            <w:tcW w:type="dxa" w:w="7992"/>
            <w:vAlign w:val="center"/>
            <w:shd w:fill="FFFFFF"/>
          </w:tcPr>
          <w:p>
            <w:pPr>
              <w:pStyle w:val="TableBody"/>
            </w:pPr>
            <w:r>
              <w:rPr>
                <w:sz w:val="18"/>
              </w:rPr>
              <w:t>Resize, reload a mitad y regreso por ancla no dejan statement oculto incorrectamente.</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QA-C04</w:t>
            </w:r>
          </w:p>
        </w:tc>
        <w:tc>
          <w:tcPr>
            <w:tcW w:type="dxa" w:w="7992"/>
            <w:vAlign w:val="center"/>
            <w:shd w:fill="F7F9FD"/>
          </w:tcPr>
          <w:p>
            <w:pPr>
              <w:pStyle w:val="TableBody"/>
            </w:pPr>
            <w:r>
              <w:rPr>
                <w:sz w:val="18"/>
              </w:rPr>
              <w:t>Movimiento reducido mantiene todo visible y elimina desplazamientos decorativos.</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QA-C05</w:t>
            </w:r>
          </w:p>
        </w:tc>
        <w:tc>
          <w:tcPr>
            <w:tcW w:type="dxa" w:w="7992"/>
            <w:vAlign w:val="center"/>
            <w:shd w:fill="FFFFFF"/>
          </w:tcPr>
          <w:p>
            <w:pPr>
              <w:pStyle w:val="TableBody"/>
            </w:pPr>
            <w:r>
              <w:rPr>
                <w:sz w:val="18"/>
              </w:rPr>
              <w:t>Cambiar preferencia de movimiento durante sesión actualiza el comportamiento.</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QA-C06</w:t>
            </w:r>
          </w:p>
        </w:tc>
        <w:tc>
          <w:tcPr>
            <w:tcW w:type="dxa" w:w="7992"/>
            <w:vAlign w:val="center"/>
            <w:shd w:fill="F7F9FD"/>
          </w:tcPr>
          <w:p>
            <w:pPr>
              <w:pStyle w:val="TableBody"/>
            </w:pPr>
            <w:r>
              <w:rPr>
                <w:sz w:val="18"/>
              </w:rPr>
              <w:t>Fallo de JavaScript no deja todos los reveals invisibles.</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QA-C07</w:t>
            </w:r>
          </w:p>
        </w:tc>
        <w:tc>
          <w:tcPr>
            <w:tcW w:type="dxa" w:w="7992"/>
            <w:vAlign w:val="center"/>
            <w:shd w:fill="FFFFFF"/>
          </w:tcPr>
          <w:p>
            <w:pPr>
              <w:pStyle w:val="TableBody"/>
            </w:pPr>
            <w:r>
              <w:rPr>
                <w:sz w:val="18"/>
              </w:rPr>
              <w:t>Entradas laterales y máscaras no crean overflow horizontal.</w:t>
            </w:r>
          </w:p>
        </w:tc>
        <w:tc>
          <w:tcPr>
            <w:tcW w:type="dxa" w:w="1123"/>
            <w:vAlign w:val="center"/>
            <w:shd w:fill="FFFFFF"/>
          </w:tcPr>
          <w:p>
            <w:pPr>
              <w:pStyle w:val="TableBody"/>
            </w:pPr>
            <w:r>
              <w:rPr>
                <w:sz w:val="18"/>
              </w:rPr>
              <w:t>UI/VIS</w:t>
            </w:r>
          </w:p>
        </w:tc>
      </w:tr>
      <w:tr>
        <w:trPr>
          <w:cantSplit/>
        </w:trPr>
        <w:tc>
          <w:tcPr>
            <w:tcW w:type="dxa" w:w="994"/>
            <w:vAlign w:val="center"/>
            <w:shd w:fill="F7F9FD"/>
          </w:tcPr>
          <w:p>
            <w:pPr>
              <w:pStyle w:val="TableBody"/>
            </w:pPr>
            <w:r>
              <w:rPr>
                <w:sz w:val="18"/>
              </w:rPr>
              <w:t>QA-C08</w:t>
            </w:r>
          </w:p>
        </w:tc>
        <w:tc>
          <w:tcPr>
            <w:tcW w:type="dxa" w:w="7992"/>
            <w:vAlign w:val="center"/>
            <w:shd w:fill="F7F9FD"/>
          </w:tcPr>
          <w:p>
            <w:pPr>
              <w:pStyle w:val="TableBody"/>
            </w:pPr>
            <w:r>
              <w:rPr>
                <w:sz w:val="18"/>
              </w:rPr>
              <w:t>Delays se aplican al elemento que transiciona; no se pierde el desfase previsto.</w:t>
            </w:r>
          </w:p>
        </w:tc>
        <w:tc>
          <w:tcPr>
            <w:tcW w:type="dxa" w:w="1123"/>
            <w:vAlign w:val="center"/>
            <w:shd w:fill="F7F9FD"/>
          </w:tcPr>
          <w:p>
            <w:pPr>
              <w:pStyle w:val="TableBody"/>
            </w:pPr>
            <w:r>
              <w:rPr>
                <w:sz w:val="18"/>
              </w:rPr>
              <w:t>VIS</w:t>
            </w:r>
          </w:p>
        </w:tc>
      </w:tr>
      <w:tr>
        <w:trPr>
          <w:cantSplit/>
        </w:trPr>
        <w:tc>
          <w:tcPr>
            <w:tcW w:type="dxa" w:w="994"/>
            <w:vAlign w:val="center"/>
            <w:shd w:fill="FFFFFF"/>
          </w:tcPr>
          <w:p>
            <w:pPr>
              <w:pStyle w:val="TableBody"/>
            </w:pPr>
            <w:r>
              <w:rPr>
                <w:sz w:val="18"/>
              </w:rPr>
              <w:t>QA-C09</w:t>
            </w:r>
          </w:p>
        </w:tc>
        <w:tc>
          <w:tcPr>
            <w:tcW w:type="dxa" w:w="7992"/>
            <w:vAlign w:val="center"/>
            <w:shd w:fill="FFFFFF"/>
          </w:tcPr>
          <w:p>
            <w:pPr>
              <w:pStyle w:val="TableBody"/>
            </w:pPr>
            <w:r>
              <w:rPr>
                <w:sz w:val="18"/>
              </w:rPr>
              <w:t>Navegar varias veces no acumula listeners ni controladores de scroll.</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QA-D01</w:t>
            </w:r>
          </w:p>
        </w:tc>
        <w:tc>
          <w:tcPr>
            <w:tcW w:type="dxa" w:w="7992"/>
            <w:vAlign w:val="center"/>
            <w:shd w:fill="F7F9FD"/>
          </w:tcPr>
          <w:p>
            <w:pPr>
              <w:pStyle w:val="TableBody"/>
            </w:pPr>
            <w:r>
              <w:rPr>
                <w:sz w:val="18"/>
              </w:rPr>
              <w:t>Completar Home y continuar conserva origen, destino, fecha, hora y modo.</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QA-D02</w:t>
            </w:r>
          </w:p>
        </w:tc>
        <w:tc>
          <w:tcPr>
            <w:tcW w:type="dxa" w:w="7992"/>
            <w:vAlign w:val="center"/>
            <w:shd w:fill="FFFFFF"/>
          </w:tcPr>
          <w:p>
            <w:pPr>
              <w:pStyle w:val="TableBody"/>
            </w:pPr>
            <w:r>
              <w:rPr>
                <w:sz w:val="18"/>
              </w:rPr>
              <w:t>Entrar desde servicio conserva su intención sin borrar otros datos válidos.</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QA-D03</w:t>
            </w:r>
          </w:p>
        </w:tc>
        <w:tc>
          <w:tcPr>
            <w:tcW w:type="dxa" w:w="7992"/>
            <w:vAlign w:val="center"/>
            <w:shd w:fill="F7F9FD"/>
          </w:tcPr>
          <w:p>
            <w:pPr>
              <w:pStyle w:val="TableBody"/>
            </w:pPr>
            <w:r>
              <w:rPr>
                <w:sz w:val="18"/>
              </w:rPr>
              <w:t>Selección de vehículo llega al mismo wizard y es editable.</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QA-D04</w:t>
            </w:r>
          </w:p>
        </w:tc>
        <w:tc>
          <w:tcPr>
            <w:tcW w:type="dxa" w:w="7992"/>
            <w:vAlign w:val="center"/>
            <w:shd w:fill="FFFFFF"/>
          </w:tcPr>
          <w:p>
            <w:pPr>
              <w:pStyle w:val="TableBody"/>
            </w:pPr>
            <w:r>
              <w:rPr>
                <w:sz w:val="18"/>
              </w:rPr>
              <w:t>Todos los campos operativos pueden editarse y llegan al payload/persistencia.</w:t>
            </w:r>
          </w:p>
        </w:tc>
        <w:tc>
          <w:tcPr>
            <w:tcW w:type="dxa" w:w="1123"/>
            <w:vAlign w:val="center"/>
            <w:shd w:fill="FFFFFF"/>
          </w:tcPr>
          <w:p>
            <w:pPr>
              <w:pStyle w:val="TableBody"/>
            </w:pPr>
            <w:r>
              <w:rPr>
                <w:sz w:val="18"/>
              </w:rPr>
              <w:t>UI/API/DB</w:t>
            </w:r>
          </w:p>
        </w:tc>
      </w:tr>
      <w:tr>
        <w:trPr>
          <w:cantSplit/>
        </w:trPr>
        <w:tc>
          <w:tcPr>
            <w:tcW w:type="dxa" w:w="994"/>
            <w:vAlign w:val="center"/>
            <w:shd w:fill="F7F9FD"/>
          </w:tcPr>
          <w:p>
            <w:pPr>
              <w:pStyle w:val="TableBody"/>
            </w:pPr>
            <w:r>
              <w:rPr>
                <w:sz w:val="18"/>
              </w:rPr>
              <w:t>QA-D05</w:t>
            </w:r>
          </w:p>
        </w:tc>
        <w:tc>
          <w:tcPr>
            <w:tcW w:type="dxa" w:w="7992"/>
            <w:vAlign w:val="center"/>
            <w:shd w:fill="F7F9FD"/>
          </w:tcPr>
          <w:p>
            <w:pPr>
              <w:pStyle w:val="TableBody"/>
            </w:pPr>
            <w:r>
              <w:rPr>
                <w:sz w:val="18"/>
              </w:rPr>
              <w:t>Ningún envío conserva fecha, pasajero o lugar fijo de demostración.</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QA-D06</w:t>
            </w:r>
          </w:p>
        </w:tc>
        <w:tc>
          <w:tcPr>
            <w:tcW w:type="dxa" w:w="7992"/>
            <w:vAlign w:val="center"/>
            <w:shd w:fill="FFFFFF"/>
          </w:tcPr>
          <w:p>
            <w:pPr>
              <w:pStyle w:val="TableBody"/>
            </w:pPr>
            <w:r>
              <w:rPr>
                <w:sz w:val="18"/>
              </w:rPr>
              <w:t>Horas exige duración real; no exige destino oculto no aplicable.</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QA-D07</w:t>
            </w:r>
          </w:p>
        </w:tc>
        <w:tc>
          <w:tcPr>
            <w:tcW w:type="dxa" w:w="7992"/>
            <w:vAlign w:val="center"/>
            <w:shd w:fill="F7F9FD"/>
          </w:tcPr>
          <w:p>
            <w:pPr>
              <w:pStyle w:val="TableBody"/>
            </w:pPr>
            <w:r>
              <w:rPr>
                <w:sz w:val="18"/>
              </w:rPr>
              <w:t>Regreso tiene tramo/fecha propios; anterior al viaje se rechaza.</w:t>
            </w:r>
          </w:p>
        </w:tc>
        <w:tc>
          <w:tcPr>
            <w:tcW w:type="dxa" w:w="1123"/>
            <w:vAlign w:val="center"/>
            <w:shd w:fill="F7F9FD"/>
          </w:tcPr>
          <w:p>
            <w:pPr>
              <w:pStyle w:val="TableBody"/>
            </w:pPr>
            <w:r>
              <w:rPr>
                <w:sz w:val="18"/>
              </w:rPr>
              <w:t>UI/API</w:t>
            </w:r>
          </w:p>
        </w:tc>
      </w:tr>
      <w:tr>
        <w:trPr>
          <w:cantSplit/>
        </w:trPr>
        <w:tc>
          <w:tcPr>
            <w:tcW w:type="dxa" w:w="994"/>
            <w:vAlign w:val="center"/>
            <w:shd w:fill="FFFFFF"/>
          </w:tcPr>
          <w:p>
            <w:pPr>
              <w:pStyle w:val="TableBody"/>
            </w:pPr>
            <w:r>
              <w:rPr>
                <w:sz w:val="18"/>
              </w:rPr>
              <w:t>QA-D08</w:t>
            </w:r>
          </w:p>
        </w:tc>
        <w:tc>
          <w:tcPr>
            <w:tcW w:type="dxa" w:w="7992"/>
            <w:vAlign w:val="center"/>
            <w:shd w:fill="FFFFFF"/>
          </w:tcPr>
          <w:p>
            <w:pPr>
              <w:pStyle w:val="TableBody"/>
            </w:pPr>
            <w:r>
              <w:rPr>
                <w:sz w:val="18"/>
              </w:rPr>
              <w:t>Aeropuerto aplica campos y sentido correctos; sin tracking ficticio.</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QA-D09</w:t>
            </w:r>
          </w:p>
        </w:tc>
        <w:tc>
          <w:tcPr>
            <w:tcW w:type="dxa" w:w="7992"/>
            <w:vAlign w:val="center"/>
            <w:shd w:fill="F7F9FD"/>
          </w:tcPr>
          <w:p>
            <w:pPr>
              <w:pStyle w:val="TableBody"/>
            </w:pPr>
            <w:r>
              <w:rPr>
                <w:sz w:val="18"/>
              </w:rPr>
              <w:t>Dirección manual se presenta como bajo revisión, no como geocodificada.</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QA-D10</w:t>
            </w:r>
          </w:p>
        </w:tc>
        <w:tc>
          <w:tcPr>
            <w:tcW w:type="dxa" w:w="7992"/>
            <w:vAlign w:val="center"/>
            <w:shd w:fill="FFFFFF"/>
          </w:tcPr>
          <w:p>
            <w:pPr>
              <w:pStyle w:val="TableBody"/>
            </w:pPr>
            <w:r>
              <w:rPr>
                <w:sz w:val="18"/>
              </w:rPr>
              <w:t>Falla proveedor de lugares: explica error y no usa respuestas obsoletas.</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QA-D11</w:t>
            </w:r>
          </w:p>
        </w:tc>
        <w:tc>
          <w:tcPr>
            <w:tcW w:type="dxa" w:w="7992"/>
            <w:vAlign w:val="center"/>
            <w:shd w:fill="F7F9FD"/>
          </w:tcPr>
          <w:p>
            <w:pPr>
              <w:pStyle w:val="TableBody"/>
            </w:pPr>
            <w:r>
              <w:rPr>
                <w:sz w:val="18"/>
              </w:rPr>
              <w:t>Fecha pasada es rechazada también en servidor.</w:t>
            </w:r>
          </w:p>
        </w:tc>
        <w:tc>
          <w:tcPr>
            <w:tcW w:type="dxa" w:w="1123"/>
            <w:vAlign w:val="center"/>
            <w:shd w:fill="F7F9FD"/>
          </w:tcPr>
          <w:p>
            <w:pPr>
              <w:pStyle w:val="TableBody"/>
            </w:pPr>
            <w:r>
              <w:rPr>
                <w:sz w:val="18"/>
              </w:rPr>
              <w:t>API</w:t>
            </w:r>
          </w:p>
        </w:tc>
      </w:tr>
      <w:tr>
        <w:trPr>
          <w:cantSplit/>
        </w:trPr>
        <w:tc>
          <w:tcPr>
            <w:tcW w:type="dxa" w:w="994"/>
            <w:vAlign w:val="center"/>
            <w:shd w:fill="FFFFFF"/>
          </w:tcPr>
          <w:p>
            <w:pPr>
              <w:pStyle w:val="TableBody"/>
            </w:pPr>
            <w:r>
              <w:rPr>
                <w:sz w:val="18"/>
              </w:rPr>
              <w:t>QA-D12</w:t>
            </w:r>
          </w:p>
        </w:tc>
        <w:tc>
          <w:tcPr>
            <w:tcW w:type="dxa" w:w="7992"/>
            <w:vAlign w:val="center"/>
            <w:shd w:fill="FFFFFF"/>
          </w:tcPr>
          <w:p>
            <w:pPr>
              <w:pStyle w:val="TableBody"/>
            </w:pPr>
            <w:r>
              <w:rPr>
                <w:sz w:val="18"/>
              </w:rPr>
              <w:t>Zona inexistente u offset inconsistente no crea solicitud incorrecta.</w:t>
            </w:r>
          </w:p>
        </w:tc>
        <w:tc>
          <w:tcPr>
            <w:tcW w:type="dxa" w:w="1123"/>
            <w:vAlign w:val="center"/>
            <w:shd w:fill="FFFFFF"/>
          </w:tcPr>
          <w:p>
            <w:pPr>
              <w:pStyle w:val="TableBody"/>
            </w:pPr>
            <w:r>
              <w:rPr>
                <w:sz w:val="18"/>
              </w:rPr>
              <w:t>API</w:t>
            </w:r>
          </w:p>
        </w:tc>
      </w:tr>
      <w:tr>
        <w:trPr>
          <w:cantSplit/>
        </w:trPr>
        <w:tc>
          <w:tcPr>
            <w:tcW w:type="dxa" w:w="994"/>
            <w:vAlign w:val="center"/>
            <w:shd w:fill="F7F9FD"/>
          </w:tcPr>
          <w:p>
            <w:pPr>
              <w:pStyle w:val="TableBody"/>
            </w:pPr>
            <w:r>
              <w:rPr>
                <w:sz w:val="18"/>
              </w:rPr>
              <w:t>QA-D13</w:t>
            </w:r>
          </w:p>
        </w:tc>
        <w:tc>
          <w:tcPr>
            <w:tcW w:type="dxa" w:w="7992"/>
            <w:vAlign w:val="center"/>
            <w:shd w:fill="F7F9FD"/>
          </w:tcPr>
          <w:p>
            <w:pPr>
              <w:pStyle w:val="TableBody"/>
            </w:pPr>
            <w:r>
              <w:rPr>
                <w:sz w:val="18"/>
              </w:rPr>
              <w:t>Hora estacional inexistente se explica y bloquea; ambigua requiere resolución.</w:t>
            </w:r>
          </w:p>
        </w:tc>
        <w:tc>
          <w:tcPr>
            <w:tcW w:type="dxa" w:w="1123"/>
            <w:vAlign w:val="center"/>
            <w:shd w:fill="F7F9FD"/>
          </w:tcPr>
          <w:p>
            <w:pPr>
              <w:pStyle w:val="TableBody"/>
            </w:pPr>
            <w:r>
              <w:rPr>
                <w:sz w:val="18"/>
              </w:rPr>
              <w:t>UI/API</w:t>
            </w:r>
          </w:p>
        </w:tc>
      </w:tr>
      <w:tr>
        <w:trPr>
          <w:cantSplit/>
        </w:trPr>
        <w:tc>
          <w:tcPr>
            <w:tcW w:type="dxa" w:w="994"/>
            <w:vAlign w:val="center"/>
            <w:shd w:fill="FFFFFF"/>
          </w:tcPr>
          <w:p>
            <w:pPr>
              <w:pStyle w:val="TableBody"/>
            </w:pPr>
            <w:r>
              <w:rPr>
                <w:sz w:val="18"/>
              </w:rPr>
              <w:t>QA-D14</w:t>
            </w:r>
          </w:p>
        </w:tc>
        <w:tc>
          <w:tcPr>
            <w:tcW w:type="dxa" w:w="7992"/>
            <w:vAlign w:val="center"/>
            <w:shd w:fill="FFFFFF"/>
          </w:tcPr>
          <w:p>
            <w:pPr>
              <w:pStyle w:val="TableBody"/>
            </w:pPr>
            <w:r>
              <w:rPr>
                <w:sz w:val="18"/>
              </w:rPr>
              <w:t>Cambiar zona/lugar/fecha revalida instante y regreso.</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QA-D15</w:t>
            </w:r>
          </w:p>
        </w:tc>
        <w:tc>
          <w:tcPr>
            <w:tcW w:type="dxa" w:w="7992"/>
            <w:vAlign w:val="center"/>
            <w:shd w:fill="F7F9FD"/>
          </w:tcPr>
          <w:p>
            <w:pPr>
              <w:pStyle w:val="TableBody"/>
            </w:pPr>
            <w:r>
              <w:rPr>
                <w:sz w:val="18"/>
              </w:rPr>
              <w:t>Categoría inactiva se rechaza aunque se envíe manualmente su código.</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QA-D16</w:t>
            </w:r>
          </w:p>
        </w:tc>
        <w:tc>
          <w:tcPr>
            <w:tcW w:type="dxa" w:w="7992"/>
            <w:vAlign w:val="center"/>
            <w:shd w:fill="FFFFFF"/>
          </w:tcPr>
          <w:p>
            <w:pPr>
              <w:pStyle w:val="TableBody"/>
            </w:pPr>
            <w:r>
              <w:rPr>
                <w:sz w:val="18"/>
              </w:rPr>
              <w:t>Capacidad validada incompatible se rechaza en servidor y UI.</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QA-D17</w:t>
            </w:r>
          </w:p>
        </w:tc>
        <w:tc>
          <w:tcPr>
            <w:tcW w:type="dxa" w:w="7992"/>
            <w:vAlign w:val="center"/>
            <w:shd w:fill="F7F9FD"/>
          </w:tcPr>
          <w:p>
            <w:pPr>
              <w:pStyle w:val="TableBody"/>
            </w:pPr>
            <w:r>
              <w:rPr>
                <w:sz w:val="18"/>
              </w:rPr>
              <w:t>Volver de revisión a pasos anteriores conserva datos y estados coherentes.</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QA-D18</w:t>
            </w:r>
          </w:p>
        </w:tc>
        <w:tc>
          <w:tcPr>
            <w:tcW w:type="dxa" w:w="7992"/>
            <w:vAlign w:val="center"/>
            <w:shd w:fill="FFFFFF"/>
          </w:tcPr>
          <w:p>
            <w:pPr>
              <w:pStyle w:val="TableBody"/>
            </w:pPr>
            <w:r>
              <w:rPr>
                <w:sz w:val="18"/>
              </w:rPr>
              <w:t>Notas y contacto del pasajero se guardan en campos adecuados, sin pérdida.</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QA-D19</w:t>
            </w:r>
          </w:p>
        </w:tc>
        <w:tc>
          <w:tcPr>
            <w:tcW w:type="dxa" w:w="7992"/>
            <w:vAlign w:val="center"/>
            <w:shd w:fill="F7F9FD"/>
          </w:tcPr>
          <w:p>
            <w:pPr>
              <w:pStyle w:val="TableBody"/>
            </w:pPr>
            <w:r>
              <w:rPr>
                <w:sz w:val="18"/>
              </w:rPr>
              <w:t>Reservar para otro no cambia nombre/correo del titular.</w:t>
            </w:r>
          </w:p>
        </w:tc>
        <w:tc>
          <w:tcPr>
            <w:tcW w:type="dxa" w:w="1123"/>
            <w:vAlign w:val="center"/>
            <w:shd w:fill="F7F9FD"/>
          </w:tcPr>
          <w:p>
            <w:pPr>
              <w:pStyle w:val="TableBody"/>
            </w:pPr>
            <w:r>
              <w:rPr>
                <w:sz w:val="18"/>
              </w:rPr>
              <w:t>UI/API/DB</w:t>
            </w:r>
          </w:p>
        </w:tc>
      </w:tr>
      <w:tr>
        <w:trPr>
          <w:cantSplit/>
        </w:trPr>
        <w:tc>
          <w:tcPr>
            <w:tcW w:type="dxa" w:w="994"/>
            <w:vAlign w:val="center"/>
            <w:shd w:fill="FFFFFF"/>
          </w:tcPr>
          <w:p>
            <w:pPr>
              <w:pStyle w:val="TableBody"/>
            </w:pPr>
            <w:r>
              <w:rPr>
                <w:sz w:val="18"/>
              </w:rPr>
              <w:t>QA-D20</w:t>
            </w:r>
          </w:p>
        </w:tc>
        <w:tc>
          <w:tcPr>
            <w:tcW w:type="dxa" w:w="7992"/>
            <w:vAlign w:val="center"/>
            <w:shd w:fill="FFFFFF"/>
          </w:tcPr>
          <w:p>
            <w:pPr>
              <w:pStyle w:val="TableBody"/>
            </w:pPr>
            <w:r>
              <w:rPr>
                <w:sz w:val="18"/>
              </w:rPr>
              <w:t>Campos corruptos del storage no se convierten en estado confiable.</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QA-D21</w:t>
            </w:r>
          </w:p>
        </w:tc>
        <w:tc>
          <w:tcPr>
            <w:tcW w:type="dxa" w:w="7992"/>
            <w:vAlign w:val="center"/>
            <w:shd w:fill="F7F9FD"/>
          </w:tcPr>
          <w:p>
            <w:pPr>
              <w:pStyle w:val="TableBody"/>
            </w:pPr>
            <w:r>
              <w:rPr>
                <w:sz w:val="18"/>
              </w:rPr>
              <w:t>Storage bloqueado o expiración muestra estado útil, no pantalla rota.</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QA-D22</w:t>
            </w:r>
          </w:p>
        </w:tc>
        <w:tc>
          <w:tcPr>
            <w:tcW w:type="dxa" w:w="7992"/>
            <w:vAlign w:val="center"/>
            <w:shd w:fill="FFFFFF"/>
          </w:tcPr>
          <w:p>
            <w:pPr>
              <w:pStyle w:val="TableBody"/>
            </w:pPr>
            <w:r>
              <w:rPr>
                <w:sz w:val="18"/>
              </w:rPr>
              <w:t>Expiración durante edición/envío incierto no borra silenciosamente la recuperación.</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QA-D23</w:t>
            </w:r>
          </w:p>
        </w:tc>
        <w:tc>
          <w:tcPr>
            <w:tcW w:type="dxa" w:w="7992"/>
            <w:vAlign w:val="center"/>
            <w:shd w:fill="F7F9FD"/>
          </w:tcPr>
          <w:p>
            <w:pPr>
              <w:pStyle w:val="TableBody"/>
            </w:pPr>
            <w:r>
              <w:rPr>
                <w:sz w:val="18"/>
              </w:rPr>
              <w:t>Doble clic y requests concurrentes producen una sola solicitud lógica.</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QA-D24</w:t>
            </w:r>
          </w:p>
        </w:tc>
        <w:tc>
          <w:tcPr>
            <w:tcW w:type="dxa" w:w="7992"/>
            <w:vAlign w:val="center"/>
            <w:shd w:fill="FFFFFF"/>
          </w:tcPr>
          <w:p>
            <w:pPr>
              <w:pStyle w:val="TableBody"/>
            </w:pPr>
            <w:r>
              <w:rPr>
                <w:sz w:val="18"/>
              </w:rPr>
              <w:t>Timeout tras persistir: reintento recupera el mismo resultado y referencia.</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QA-D25</w:t>
            </w:r>
          </w:p>
        </w:tc>
        <w:tc>
          <w:tcPr>
            <w:tcW w:type="dxa" w:w="7992"/>
            <w:vAlign w:val="center"/>
            <w:shd w:fill="F7F9FD"/>
          </w:tcPr>
          <w:p>
            <w:pPr>
              <w:pStyle w:val="TableBody"/>
            </w:pPr>
            <w:r>
              <w:rPr>
                <w:sz w:val="18"/>
              </w:rPr>
              <w:t>Misma clave con payload diferente produce conflicto, no respuesta de otro contenido.</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QA-D26</w:t>
            </w:r>
          </w:p>
        </w:tc>
        <w:tc>
          <w:tcPr>
            <w:tcW w:type="dxa" w:w="7992"/>
            <w:vAlign w:val="center"/>
            <w:shd w:fill="FFFFFF"/>
          </w:tcPr>
          <w:p>
            <w:pPr>
              <w:pStyle w:val="TableBody"/>
            </w:pPr>
            <w:r>
              <w:rPr>
                <w:sz w:val="18"/>
              </w:rPr>
              <w:t>Reutilizar clave de otro usuario no expone su reserva.</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QA-D27</w:t>
            </w:r>
          </w:p>
        </w:tc>
        <w:tc>
          <w:tcPr>
            <w:tcW w:type="dxa" w:w="7992"/>
            <w:vAlign w:val="center"/>
            <w:shd w:fill="F7F9FD"/>
          </w:tcPr>
          <w:p>
            <w:pPr>
              <w:pStyle w:val="TableBody"/>
            </w:pPr>
            <w:r>
              <w:rPr>
                <w:sz w:val="18"/>
              </w:rPr>
              <w:t>Referencia pública viene del servidor y coincide con portal/operación.</w:t>
            </w:r>
          </w:p>
        </w:tc>
        <w:tc>
          <w:tcPr>
            <w:tcW w:type="dxa" w:w="1123"/>
            <w:vAlign w:val="center"/>
            <w:shd w:fill="F7F9FD"/>
          </w:tcPr>
          <w:p>
            <w:pPr>
              <w:pStyle w:val="TableBody"/>
            </w:pPr>
            <w:r>
              <w:rPr>
                <w:sz w:val="18"/>
              </w:rPr>
              <w:t>UI/API/DB</w:t>
            </w:r>
          </w:p>
        </w:tc>
      </w:tr>
      <w:tr>
        <w:trPr>
          <w:cantSplit/>
        </w:trPr>
        <w:tc>
          <w:tcPr>
            <w:tcW w:type="dxa" w:w="994"/>
            <w:vAlign w:val="center"/>
            <w:shd w:fill="FFFFFF"/>
          </w:tcPr>
          <w:p>
            <w:pPr>
              <w:pStyle w:val="TableBody"/>
            </w:pPr>
            <w:r>
              <w:rPr>
                <w:sz w:val="18"/>
              </w:rPr>
              <w:t>QA-D28</w:t>
            </w:r>
          </w:p>
        </w:tc>
        <w:tc>
          <w:tcPr>
            <w:tcW w:type="dxa" w:w="7992"/>
            <w:vAlign w:val="center"/>
            <w:shd w:fill="FFFFFF"/>
          </w:tcPr>
          <w:p>
            <w:pPr>
              <w:pStyle w:val="TableBody"/>
            </w:pPr>
            <w:r>
              <w:rPr>
                <w:sz w:val="18"/>
              </w:rPr>
              <w:t>“Solicitud recibida” no se presenta como pagada o confirmada.</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QA-E01</w:t>
            </w:r>
          </w:p>
        </w:tc>
        <w:tc>
          <w:tcPr>
            <w:tcW w:type="dxa" w:w="7992"/>
            <w:vAlign w:val="center"/>
            <w:shd w:fill="F7F9FD"/>
          </w:tcPr>
          <w:p>
            <w:pPr>
              <w:pStyle w:val="TableBody"/>
            </w:pPr>
            <w:r>
              <w:rPr>
                <w:sz w:val="18"/>
              </w:rPr>
              <w:t>Alta válida crea una cuenta verificable sin privilegio interno.</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QA-E02</w:t>
            </w:r>
          </w:p>
        </w:tc>
        <w:tc>
          <w:tcPr>
            <w:tcW w:type="dxa" w:w="7992"/>
            <w:vAlign w:val="center"/>
            <w:shd w:fill="FFFFFF"/>
          </w:tcPr>
          <w:p>
            <w:pPr>
              <w:pStyle w:val="TableBody"/>
            </w:pPr>
            <w:r>
              <w:rPr>
                <w:sz w:val="18"/>
              </w:rPr>
              <w:t>Correo repetido y reintento no crean duplicados ni usuarios huérfanos.</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QA-E03</w:t>
            </w:r>
          </w:p>
        </w:tc>
        <w:tc>
          <w:tcPr>
            <w:tcW w:type="dxa" w:w="7992"/>
            <w:vAlign w:val="center"/>
            <w:shd w:fill="F7F9FD"/>
          </w:tcPr>
          <w:p>
            <w:pPr>
              <w:pStyle w:val="TableBody"/>
            </w:pPr>
            <w:r>
              <w:rPr>
                <w:sz w:val="18"/>
              </w:rPr>
              <w:t>Fallo de correo tras alta permite retomar/reenviar sin crear otra cuenta.</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QA-E04</w:t>
            </w:r>
          </w:p>
        </w:tc>
        <w:tc>
          <w:tcPr>
            <w:tcW w:type="dxa" w:w="7992"/>
            <w:vAlign w:val="center"/>
            <w:shd w:fill="FFFFFF"/>
          </w:tcPr>
          <w:p>
            <w:pPr>
              <w:pStyle w:val="TableBody"/>
            </w:pPr>
            <w:r>
              <w:rPr>
                <w:sz w:val="18"/>
              </w:rPr>
              <w:t>Consentimiento requerido se valida en servidor; marketing es opcional.</w:t>
            </w:r>
          </w:p>
        </w:tc>
        <w:tc>
          <w:tcPr>
            <w:tcW w:type="dxa" w:w="1123"/>
            <w:vAlign w:val="center"/>
            <w:shd w:fill="FFFFFF"/>
          </w:tcPr>
          <w:p>
            <w:pPr>
              <w:pStyle w:val="TableBody"/>
            </w:pPr>
            <w:r>
              <w:rPr>
                <w:sz w:val="18"/>
              </w:rPr>
              <w:t>API</w:t>
            </w:r>
          </w:p>
        </w:tc>
      </w:tr>
      <w:tr>
        <w:trPr>
          <w:cantSplit/>
        </w:trPr>
        <w:tc>
          <w:tcPr>
            <w:tcW w:type="dxa" w:w="994"/>
            <w:vAlign w:val="center"/>
            <w:shd w:fill="F7F9FD"/>
          </w:tcPr>
          <w:p>
            <w:pPr>
              <w:pStyle w:val="TableBody"/>
            </w:pPr>
            <w:r>
              <w:rPr>
                <w:sz w:val="18"/>
              </w:rPr>
              <w:t>QA-E05</w:t>
            </w:r>
          </w:p>
        </w:tc>
        <w:tc>
          <w:tcPr>
            <w:tcW w:type="dxa" w:w="7992"/>
            <w:vAlign w:val="center"/>
            <w:shd w:fill="F7F9FD"/>
          </w:tcPr>
          <w:p>
            <w:pPr>
              <w:pStyle w:val="TableBody"/>
            </w:pPr>
            <w:r>
              <w:rPr>
                <w:sz w:val="18"/>
              </w:rPr>
              <w:t>Token de verificación inválido, vencido o usado no se acepta.</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QA-E06</w:t>
            </w:r>
          </w:p>
        </w:tc>
        <w:tc>
          <w:tcPr>
            <w:tcW w:type="dxa" w:w="7992"/>
            <w:vAlign w:val="center"/>
            <w:shd w:fill="FFFFFF"/>
          </w:tcPr>
          <w:p>
            <w:pPr>
              <w:pStyle w:val="TableBody"/>
            </w:pPr>
            <w:r>
              <w:rPr>
                <w:sz w:val="18"/>
              </w:rPr>
              <w:t>Dos consumos simultáneos de comprobante no completan dos operaciones.</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QA-E07</w:t>
            </w:r>
          </w:p>
        </w:tc>
        <w:tc>
          <w:tcPr>
            <w:tcW w:type="dxa" w:w="7992"/>
            <w:vAlign w:val="center"/>
            <w:shd w:fill="F7F9FD"/>
          </w:tcPr>
          <w:p>
            <w:pPr>
              <w:pStyle w:val="TableBody"/>
            </w:pPr>
            <w:r>
              <w:rPr>
                <w:sz w:val="18"/>
              </w:rPr>
              <w:t>Recuperación no revela innecesariamente si un correo existe.</w:t>
            </w:r>
          </w:p>
        </w:tc>
        <w:tc>
          <w:tcPr>
            <w:tcW w:type="dxa" w:w="1123"/>
            <w:vAlign w:val="center"/>
            <w:shd w:fill="F7F9FD"/>
          </w:tcPr>
          <w:p>
            <w:pPr>
              <w:pStyle w:val="TableBody"/>
            </w:pPr>
            <w:r>
              <w:rPr>
                <w:sz w:val="18"/>
              </w:rPr>
              <w:t>API</w:t>
            </w:r>
          </w:p>
        </w:tc>
      </w:tr>
      <w:tr>
        <w:trPr>
          <w:cantSplit/>
        </w:trPr>
        <w:tc>
          <w:tcPr>
            <w:tcW w:type="dxa" w:w="994"/>
            <w:vAlign w:val="center"/>
            <w:shd w:fill="FFFFFF"/>
          </w:tcPr>
          <w:p>
            <w:pPr>
              <w:pStyle w:val="TableBody"/>
            </w:pPr>
            <w:r>
              <w:rPr>
                <w:sz w:val="18"/>
              </w:rPr>
              <w:t>QA-E08</w:t>
            </w:r>
          </w:p>
        </w:tc>
        <w:tc>
          <w:tcPr>
            <w:tcW w:type="dxa" w:w="7992"/>
            <w:vAlign w:val="center"/>
            <w:shd w:fill="FFFFFF"/>
          </w:tcPr>
          <w:p>
            <w:pPr>
              <w:pStyle w:val="TableBody"/>
            </w:pPr>
            <w:r>
              <w:rPr>
                <w:sz w:val="18"/>
              </w:rPr>
              <w:t>Reset cambia la contraseña y aplica la revocación de sesiones definida.</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QA-E09</w:t>
            </w:r>
          </w:p>
        </w:tc>
        <w:tc>
          <w:tcPr>
            <w:tcW w:type="dxa" w:w="7992"/>
            <w:vAlign w:val="center"/>
            <w:shd w:fill="F7F9FD"/>
          </w:tcPr>
          <w:p>
            <w:pPr>
              <w:pStyle w:val="TableBody"/>
            </w:pPr>
            <w:r>
              <w:rPr>
                <w:sz w:val="18"/>
              </w:rPr>
              <w:t>Usuario bcrypt heredado puede entrar; formatos nuevos se validan sin truncar.</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QA-E10</w:t>
            </w:r>
          </w:p>
        </w:tc>
        <w:tc>
          <w:tcPr>
            <w:tcW w:type="dxa" w:w="7992"/>
            <w:vAlign w:val="center"/>
            <w:shd w:fill="FFFFFF"/>
          </w:tcPr>
          <w:p>
            <w:pPr>
              <w:pStyle w:val="TableBody"/>
            </w:pPr>
            <w:r>
              <w:rPr>
                <w:sz w:val="18"/>
              </w:rPr>
              <w:t>Login respeta un retorno interno permitido y rechaza redirecciones externas.</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QA-E11</w:t>
            </w:r>
          </w:p>
        </w:tc>
        <w:tc>
          <w:tcPr>
            <w:tcW w:type="dxa" w:w="7992"/>
            <w:vAlign w:val="center"/>
            <w:shd w:fill="F7F9FD"/>
          </w:tcPr>
          <w:p>
            <w:pPr>
              <w:pStyle w:val="TableBody"/>
            </w:pPr>
            <w:r>
              <w:rPr>
                <w:sz w:val="18"/>
              </w:rPr>
              <w:t>Acceso desde wizard vuelve al borrador sin pérdida ni cruces de identidad.</w:t>
            </w:r>
          </w:p>
        </w:tc>
        <w:tc>
          <w:tcPr>
            <w:tcW w:type="dxa" w:w="1123"/>
            <w:vAlign w:val="center"/>
            <w:shd w:fill="F7F9FD"/>
          </w:tcPr>
          <w:p>
            <w:pPr>
              <w:pStyle w:val="TableBody"/>
            </w:pPr>
            <w:r>
              <w:rPr>
                <w:sz w:val="18"/>
              </w:rPr>
              <w:t>UI</w:t>
            </w:r>
          </w:p>
        </w:tc>
      </w:tr>
      <w:tr>
        <w:trPr>
          <w:cantSplit/>
        </w:trPr>
        <w:tc>
          <w:tcPr>
            <w:tcW w:type="dxa" w:w="994"/>
            <w:vAlign w:val="center"/>
            <w:shd w:fill="FFFFFF"/>
          </w:tcPr>
          <w:p>
            <w:pPr>
              <w:pStyle w:val="TableBody"/>
            </w:pPr>
            <w:r>
              <w:rPr>
                <w:sz w:val="18"/>
              </w:rPr>
              <w:t>QA-E12</w:t>
            </w:r>
          </w:p>
        </w:tc>
        <w:tc>
          <w:tcPr>
            <w:tcW w:type="dxa" w:w="7992"/>
            <w:vAlign w:val="center"/>
            <w:shd w:fill="FFFFFF"/>
          </w:tcPr>
          <w:p>
            <w:pPr>
              <w:pStyle w:val="TableBody"/>
            </w:pPr>
            <w:r>
              <w:rPr>
                <w:sz w:val="18"/>
              </w:rPr>
              <w:t>Fallo temporal de red no se muestra como credenciales incorrectas.</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QA-E13</w:t>
            </w:r>
          </w:p>
        </w:tc>
        <w:tc>
          <w:tcPr>
            <w:tcW w:type="dxa" w:w="7992"/>
            <w:vAlign w:val="center"/>
            <w:shd w:fill="F7F9FD"/>
          </w:tcPr>
          <w:p>
            <w:pPr>
              <w:pStyle w:val="TableBody"/>
            </w:pPr>
            <w:r>
              <w:rPr>
                <w:sz w:val="18"/>
              </w:rPr>
              <w:t>Logout revoca sesión; Atrás no revela datos protegidos.</w:t>
            </w:r>
          </w:p>
        </w:tc>
        <w:tc>
          <w:tcPr>
            <w:tcW w:type="dxa" w:w="1123"/>
            <w:vAlign w:val="center"/>
            <w:shd w:fill="F7F9FD"/>
          </w:tcPr>
          <w:p>
            <w:pPr>
              <w:pStyle w:val="TableBody"/>
            </w:pPr>
            <w:r>
              <w:rPr>
                <w:sz w:val="18"/>
              </w:rPr>
              <w:t>UI/API</w:t>
            </w:r>
          </w:p>
        </w:tc>
      </w:tr>
      <w:tr>
        <w:trPr>
          <w:cantSplit/>
        </w:trPr>
        <w:tc>
          <w:tcPr>
            <w:tcW w:type="dxa" w:w="994"/>
            <w:vAlign w:val="center"/>
            <w:shd w:fill="FFFFFF"/>
          </w:tcPr>
          <w:p>
            <w:pPr>
              <w:pStyle w:val="TableBody"/>
            </w:pPr>
            <w:r>
              <w:rPr>
                <w:sz w:val="18"/>
              </w:rPr>
              <w:t>QA-E14</w:t>
            </w:r>
          </w:p>
        </w:tc>
        <w:tc>
          <w:tcPr>
            <w:tcW w:type="dxa" w:w="7992"/>
            <w:vAlign w:val="center"/>
            <w:shd w:fill="FFFFFF"/>
          </w:tcPr>
          <w:p>
            <w:pPr>
              <w:pStyle w:val="TableBody"/>
            </w:pPr>
            <w:r>
              <w:rPr>
                <w:sz w:val="18"/>
              </w:rPr>
              <w:t>Otra pestaña recoge cambio de sesión/CSRF sin usar tokens antiguos indefinidamente.</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QA-E15</w:t>
            </w:r>
          </w:p>
        </w:tc>
        <w:tc>
          <w:tcPr>
            <w:tcW w:type="dxa" w:w="7992"/>
            <w:vAlign w:val="center"/>
            <w:shd w:fill="F7F9FD"/>
          </w:tcPr>
          <w:p>
            <w:pPr>
              <w:pStyle w:val="TableBody"/>
            </w:pPr>
            <w:r>
              <w:rPr>
                <w:sz w:val="18"/>
              </w:rPr>
              <w:t>Cuenta sin verificación solo tiene capacidades explícitamente permitidas.</w:t>
            </w:r>
          </w:p>
        </w:tc>
        <w:tc>
          <w:tcPr>
            <w:tcW w:type="dxa" w:w="1123"/>
            <w:vAlign w:val="center"/>
            <w:shd w:fill="F7F9FD"/>
          </w:tcPr>
          <w:p>
            <w:pPr>
              <w:pStyle w:val="TableBody"/>
            </w:pPr>
            <w:r>
              <w:rPr>
                <w:sz w:val="18"/>
              </w:rPr>
              <w:t>API</w:t>
            </w:r>
          </w:p>
        </w:tc>
      </w:tr>
      <w:tr>
        <w:trPr>
          <w:cantSplit/>
        </w:trPr>
        <w:tc>
          <w:tcPr>
            <w:tcW w:type="dxa" w:w="994"/>
            <w:vAlign w:val="center"/>
            <w:shd w:fill="FFFFFF"/>
          </w:tcPr>
          <w:p>
            <w:pPr>
              <w:pStyle w:val="TableBody"/>
            </w:pPr>
            <w:r>
              <w:rPr>
                <w:sz w:val="18"/>
              </w:rPr>
              <w:t>QA-E16</w:t>
            </w:r>
          </w:p>
        </w:tc>
        <w:tc>
          <w:tcPr>
            <w:tcW w:type="dxa" w:w="7992"/>
            <w:vAlign w:val="center"/>
            <w:shd w:fill="FFFFFF"/>
          </w:tcPr>
          <w:p>
            <w:pPr>
              <w:pStyle w:val="TableBody"/>
            </w:pPr>
            <w:r>
              <w:rPr>
                <w:sz w:val="18"/>
              </w:rPr>
              <w:t>Buzón de pruebas está protegido y no se expone en producción.</w:t>
            </w:r>
          </w:p>
        </w:tc>
        <w:tc>
          <w:tcPr>
            <w:tcW w:type="dxa" w:w="1123"/>
            <w:vAlign w:val="center"/>
            <w:shd w:fill="FFFFFF"/>
          </w:tcPr>
          <w:p>
            <w:pPr>
              <w:pStyle w:val="TableBody"/>
            </w:pPr>
            <w:r>
              <w:rPr>
                <w:sz w:val="18"/>
              </w:rPr>
              <w:t>API/CFG</w:t>
            </w:r>
          </w:p>
        </w:tc>
      </w:tr>
      <w:tr>
        <w:trPr>
          <w:cantSplit/>
        </w:trPr>
        <w:tc>
          <w:tcPr>
            <w:tcW w:type="dxa" w:w="994"/>
            <w:vAlign w:val="center"/>
            <w:shd w:fill="F7F9FD"/>
          </w:tcPr>
          <w:p>
            <w:pPr>
              <w:pStyle w:val="TableBody"/>
            </w:pPr>
            <w:r>
              <w:rPr>
                <w:sz w:val="18"/>
              </w:rPr>
              <w:t>QA-F01</w:t>
            </w:r>
          </w:p>
        </w:tc>
        <w:tc>
          <w:tcPr>
            <w:tcW w:type="dxa" w:w="7992"/>
            <w:vAlign w:val="center"/>
            <w:shd w:fill="F7F9FD"/>
          </w:tcPr>
          <w:p>
            <w:pPr>
              <w:pStyle w:val="TableBody"/>
            </w:pPr>
            <w:r>
              <w:rPr>
                <w:sz w:val="18"/>
              </w:rPr>
              <w:t>Nueva solicitud aparece en la cuenta correcta después de guardar/recargar.</w:t>
            </w:r>
          </w:p>
        </w:tc>
        <w:tc>
          <w:tcPr>
            <w:tcW w:type="dxa" w:w="1123"/>
            <w:vAlign w:val="center"/>
            <w:shd w:fill="F7F9FD"/>
          </w:tcPr>
          <w:p>
            <w:pPr>
              <w:pStyle w:val="TableBody"/>
            </w:pPr>
            <w:r>
              <w:rPr>
                <w:sz w:val="18"/>
              </w:rPr>
              <w:t>UI/API/DB</w:t>
            </w:r>
          </w:p>
        </w:tc>
      </w:tr>
      <w:tr>
        <w:trPr>
          <w:cantSplit/>
        </w:trPr>
        <w:tc>
          <w:tcPr>
            <w:tcW w:type="dxa" w:w="994"/>
            <w:vAlign w:val="center"/>
            <w:shd w:fill="FFFFFF"/>
          </w:tcPr>
          <w:p>
            <w:pPr>
              <w:pStyle w:val="TableBody"/>
            </w:pPr>
            <w:r>
              <w:rPr>
                <w:sz w:val="18"/>
              </w:rPr>
              <w:t>QA-F02</w:t>
            </w:r>
          </w:p>
        </w:tc>
        <w:tc>
          <w:tcPr>
            <w:tcW w:type="dxa" w:w="7992"/>
            <w:vAlign w:val="center"/>
            <w:shd w:fill="FFFFFF"/>
          </w:tcPr>
          <w:p>
            <w:pPr>
              <w:pStyle w:val="TableBody"/>
            </w:pPr>
            <w:r>
              <w:rPr>
                <w:sz w:val="18"/>
              </w:rPr>
              <w:t>Consultar ID de otro cliente es rechazado en detalle, lista y búsqueda.</w:t>
            </w:r>
          </w:p>
        </w:tc>
        <w:tc>
          <w:tcPr>
            <w:tcW w:type="dxa" w:w="1123"/>
            <w:vAlign w:val="center"/>
            <w:shd w:fill="FFFFFF"/>
          </w:tcPr>
          <w:p>
            <w:pPr>
              <w:pStyle w:val="TableBody"/>
            </w:pPr>
            <w:r>
              <w:rPr>
                <w:sz w:val="18"/>
              </w:rPr>
              <w:t>API</w:t>
            </w:r>
          </w:p>
        </w:tc>
      </w:tr>
      <w:tr>
        <w:trPr>
          <w:cantSplit/>
        </w:trPr>
        <w:tc>
          <w:tcPr>
            <w:tcW w:type="dxa" w:w="994"/>
            <w:vAlign w:val="center"/>
            <w:shd w:fill="F7F9FD"/>
          </w:tcPr>
          <w:p>
            <w:pPr>
              <w:pStyle w:val="TableBody"/>
            </w:pPr>
            <w:r>
              <w:rPr>
                <w:sz w:val="18"/>
              </w:rPr>
              <w:t>QA-F03</w:t>
            </w:r>
          </w:p>
        </w:tc>
        <w:tc>
          <w:tcPr>
            <w:tcW w:type="dxa" w:w="7992"/>
            <w:vAlign w:val="center"/>
            <w:shd w:fill="F7F9FD"/>
          </w:tcPr>
          <w:p>
            <w:pPr>
              <w:pStyle w:val="TableBody"/>
            </w:pPr>
            <w:r>
              <w:rPr>
                <w:sz w:val="18"/>
              </w:rPr>
              <w:t>Vacío real, loading y error de red tienen pantallas distintas.</w:t>
            </w:r>
          </w:p>
        </w:tc>
        <w:tc>
          <w:tcPr>
            <w:tcW w:type="dxa" w:w="1123"/>
            <w:vAlign w:val="center"/>
            <w:shd w:fill="F7F9FD"/>
          </w:tcPr>
          <w:p>
            <w:pPr>
              <w:pStyle w:val="TableBody"/>
            </w:pPr>
            <w:r>
              <w:rPr>
                <w:sz w:val="18"/>
              </w:rPr>
              <w:t>UI/VIS</w:t>
            </w:r>
          </w:p>
        </w:tc>
      </w:tr>
      <w:tr>
        <w:trPr>
          <w:cantSplit/>
        </w:trPr>
        <w:tc>
          <w:tcPr>
            <w:tcW w:type="dxa" w:w="994"/>
            <w:vAlign w:val="center"/>
            <w:shd w:fill="FFFFFF"/>
          </w:tcPr>
          <w:p>
            <w:pPr>
              <w:pStyle w:val="TableBody"/>
            </w:pPr>
            <w:r>
              <w:rPr>
                <w:sz w:val="18"/>
              </w:rPr>
              <w:t>QA-F04</w:t>
            </w:r>
          </w:p>
        </w:tc>
        <w:tc>
          <w:tcPr>
            <w:tcW w:type="dxa" w:w="7992"/>
            <w:vAlign w:val="center"/>
            <w:shd w:fill="FFFFFF"/>
          </w:tcPr>
          <w:p>
            <w:pPr>
              <w:pStyle w:val="TableBody"/>
            </w:pPr>
            <w:r>
              <w:rPr>
                <w:sz w:val="18"/>
              </w:rPr>
              <w:t>Filtros/exportación reflejan datos seleccionados autorizados, no fixtures.</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QA-F05</w:t>
            </w:r>
          </w:p>
        </w:tc>
        <w:tc>
          <w:tcPr>
            <w:tcW w:type="dxa" w:w="7992"/>
            <w:vAlign w:val="center"/>
            <w:shd w:fill="F7F9FD"/>
          </w:tcPr>
          <w:p>
            <w:pPr>
              <w:pStyle w:val="TableBody"/>
            </w:pPr>
            <w:r>
              <w:rPr>
                <w:sz w:val="18"/>
              </w:rPr>
              <w:t>Editar nombre/contacto persiste y actualiza el armazón coherentemente.</w:t>
            </w:r>
          </w:p>
        </w:tc>
        <w:tc>
          <w:tcPr>
            <w:tcW w:type="dxa" w:w="1123"/>
            <w:vAlign w:val="center"/>
            <w:shd w:fill="F7F9FD"/>
          </w:tcPr>
          <w:p>
            <w:pPr>
              <w:pStyle w:val="TableBody"/>
            </w:pPr>
            <w:r>
              <w:rPr>
                <w:sz w:val="18"/>
              </w:rPr>
              <w:t>UI/API/DB</w:t>
            </w:r>
          </w:p>
        </w:tc>
      </w:tr>
      <w:tr>
        <w:trPr>
          <w:cantSplit/>
        </w:trPr>
        <w:tc>
          <w:tcPr>
            <w:tcW w:type="dxa" w:w="994"/>
            <w:vAlign w:val="center"/>
            <w:shd w:fill="FFFFFF"/>
          </w:tcPr>
          <w:p>
            <w:pPr>
              <w:pStyle w:val="TableBody"/>
            </w:pPr>
            <w:r>
              <w:rPr>
                <w:sz w:val="18"/>
              </w:rPr>
              <w:t>QA-F06</w:t>
            </w:r>
          </w:p>
        </w:tc>
        <w:tc>
          <w:tcPr>
            <w:tcW w:type="dxa" w:w="7992"/>
            <w:vAlign w:val="center"/>
            <w:shd w:fill="FFFFFF"/>
          </w:tcPr>
          <w:p>
            <w:pPr>
              <w:pStyle w:val="TableBody"/>
            </w:pPr>
            <w:r>
              <w:rPr>
                <w:sz w:val="18"/>
              </w:rPr>
              <w:t>Solicitud de cambio no altera silenciosamente un viaje confirmado.</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QA-F07</w:t>
            </w:r>
          </w:p>
        </w:tc>
        <w:tc>
          <w:tcPr>
            <w:tcW w:type="dxa" w:w="7992"/>
            <w:vAlign w:val="center"/>
            <w:shd w:fill="F7F9FD"/>
          </w:tcPr>
          <w:p>
            <w:pPr>
              <w:pStyle w:val="TableBody"/>
            </w:pPr>
            <w:r>
              <w:rPr>
                <w:sz w:val="18"/>
              </w:rPr>
              <w:t>Operaciones recibe la misma referencia guardada y el contacto adecuado.</w:t>
            </w:r>
          </w:p>
        </w:tc>
        <w:tc>
          <w:tcPr>
            <w:tcW w:type="dxa" w:w="1123"/>
            <w:vAlign w:val="center"/>
            <w:shd w:fill="F7F9FD"/>
          </w:tcPr>
          <w:p>
            <w:pPr>
              <w:pStyle w:val="TableBody"/>
            </w:pPr>
            <w:r>
              <w:rPr>
                <w:sz w:val="18"/>
              </w:rPr>
              <w:t>UI/API/DB</w:t>
            </w:r>
          </w:p>
        </w:tc>
      </w:tr>
      <w:tr>
        <w:trPr>
          <w:cantSplit/>
        </w:trPr>
        <w:tc>
          <w:tcPr>
            <w:tcW w:type="dxa" w:w="994"/>
            <w:vAlign w:val="center"/>
            <w:shd w:fill="FFFFFF"/>
          </w:tcPr>
          <w:p>
            <w:pPr>
              <w:pStyle w:val="TableBody"/>
            </w:pPr>
            <w:r>
              <w:rPr>
                <w:sz w:val="18"/>
              </w:rPr>
              <w:t>QA-F08</w:t>
            </w:r>
          </w:p>
        </w:tc>
        <w:tc>
          <w:tcPr>
            <w:tcW w:type="dxa" w:w="7992"/>
            <w:vAlign w:val="center"/>
            <w:shd w:fill="FFFFFF"/>
          </w:tcPr>
          <w:p>
            <w:pPr>
              <w:pStyle w:val="TableBody"/>
            </w:pPr>
            <w:r>
              <w:rPr>
                <w:sz w:val="18"/>
              </w:rPr>
              <w:t>Notas internas no se devuelven al cliente o corporativo.</w:t>
            </w:r>
          </w:p>
        </w:tc>
        <w:tc>
          <w:tcPr>
            <w:tcW w:type="dxa" w:w="1123"/>
            <w:vAlign w:val="center"/>
            <w:shd w:fill="FFFFFF"/>
          </w:tcPr>
          <w:p>
            <w:pPr>
              <w:pStyle w:val="TableBody"/>
            </w:pPr>
            <w:r>
              <w:rPr>
                <w:sz w:val="18"/>
              </w:rPr>
              <w:t>API</w:t>
            </w:r>
          </w:p>
        </w:tc>
      </w:tr>
      <w:tr>
        <w:trPr>
          <w:cantSplit/>
        </w:trPr>
        <w:tc>
          <w:tcPr>
            <w:tcW w:type="dxa" w:w="994"/>
            <w:vAlign w:val="center"/>
            <w:shd w:fill="F7F9FD"/>
          </w:tcPr>
          <w:p>
            <w:pPr>
              <w:pStyle w:val="TableBody"/>
            </w:pPr>
            <w:r>
              <w:rPr>
                <w:sz w:val="18"/>
              </w:rPr>
              <w:t>QA-F09</w:t>
            </w:r>
          </w:p>
        </w:tc>
        <w:tc>
          <w:tcPr>
            <w:tcW w:type="dxa" w:w="7992"/>
            <w:vAlign w:val="center"/>
            <w:shd w:fill="F7F9FD"/>
          </w:tcPr>
          <w:p>
            <w:pPr>
              <w:pStyle w:val="TableBody"/>
            </w:pPr>
            <w:r>
              <w:rPr>
                <w:sz w:val="18"/>
              </w:rPr>
              <w:t>Cotización válida tiene moneda, versión, vigencia e itinerario correspondiente.</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QA-F10</w:t>
            </w:r>
          </w:p>
        </w:tc>
        <w:tc>
          <w:tcPr>
            <w:tcW w:type="dxa" w:w="7992"/>
            <w:vAlign w:val="center"/>
            <w:shd w:fill="FFFFFF"/>
          </w:tcPr>
          <w:p>
            <w:pPr>
              <w:pStyle w:val="TableBody"/>
            </w:pPr>
            <w:r>
              <w:rPr>
                <w:sz w:val="18"/>
              </w:rPr>
              <w:t>Cotización vencida o itinerario modificado no se acepta como precio vigente.</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QA-F11</w:t>
            </w:r>
          </w:p>
        </w:tc>
        <w:tc>
          <w:tcPr>
            <w:tcW w:type="dxa" w:w="7992"/>
            <w:vAlign w:val="center"/>
            <w:shd w:fill="F7F9FD"/>
          </w:tcPr>
          <w:p>
            <w:pPr>
              <w:pStyle w:val="TableBody"/>
            </w:pPr>
            <w:r>
              <w:rPr>
                <w:sz w:val="18"/>
              </w:rPr>
              <w:t>Actor no autorizado no cambia estado aunque falsifique el request.</w:t>
            </w:r>
          </w:p>
        </w:tc>
        <w:tc>
          <w:tcPr>
            <w:tcW w:type="dxa" w:w="1123"/>
            <w:vAlign w:val="center"/>
            <w:shd w:fill="F7F9FD"/>
          </w:tcPr>
          <w:p>
            <w:pPr>
              <w:pStyle w:val="TableBody"/>
            </w:pPr>
            <w:r>
              <w:rPr>
                <w:sz w:val="18"/>
              </w:rPr>
              <w:t>API</w:t>
            </w:r>
          </w:p>
        </w:tc>
      </w:tr>
      <w:tr>
        <w:trPr>
          <w:cantSplit/>
        </w:trPr>
        <w:tc>
          <w:tcPr>
            <w:tcW w:type="dxa" w:w="994"/>
            <w:vAlign w:val="center"/>
            <w:shd w:fill="FFFFFF"/>
          </w:tcPr>
          <w:p>
            <w:pPr>
              <w:pStyle w:val="TableBody"/>
            </w:pPr>
            <w:r>
              <w:rPr>
                <w:sz w:val="18"/>
              </w:rPr>
              <w:t>QA-F12</w:t>
            </w:r>
          </w:p>
        </w:tc>
        <w:tc>
          <w:tcPr>
            <w:tcW w:type="dxa" w:w="7992"/>
            <w:vAlign w:val="center"/>
            <w:shd w:fill="FFFFFF"/>
          </w:tcPr>
          <w:p>
            <w:pPr>
              <w:pStyle w:val="TableBody"/>
            </w:pPr>
            <w:r>
              <w:rPr>
                <w:sz w:val="18"/>
              </w:rPr>
              <w:t>Transiciones inválidas se rechazan; las válidas escriben auditoría.</w:t>
            </w:r>
          </w:p>
        </w:tc>
        <w:tc>
          <w:tcPr>
            <w:tcW w:type="dxa" w:w="1123"/>
            <w:vAlign w:val="center"/>
            <w:shd w:fill="FFFFFF"/>
          </w:tcPr>
          <w:p>
            <w:pPr>
              <w:pStyle w:val="TableBody"/>
            </w:pPr>
            <w:r>
              <w:rPr>
                <w:sz w:val="18"/>
              </w:rPr>
              <w:t>API/DB</w:t>
            </w:r>
          </w:p>
        </w:tc>
      </w:tr>
      <w:tr>
        <w:trPr>
          <w:cantSplit/>
        </w:trPr>
        <w:tc>
          <w:tcPr>
            <w:tcW w:type="dxa" w:w="994"/>
            <w:vAlign w:val="center"/>
            <w:shd w:fill="F7F9FD"/>
          </w:tcPr>
          <w:p>
            <w:pPr>
              <w:pStyle w:val="TableBody"/>
            </w:pPr>
            <w:r>
              <w:rPr>
                <w:sz w:val="18"/>
              </w:rPr>
              <w:t>QA-G01</w:t>
            </w:r>
          </w:p>
        </w:tc>
        <w:tc>
          <w:tcPr>
            <w:tcW w:type="dxa" w:w="7992"/>
            <w:vAlign w:val="center"/>
            <w:shd w:fill="F7F9FD"/>
          </w:tcPr>
          <w:p>
            <w:pPr>
              <w:pStyle w:val="TableBody"/>
            </w:pPr>
            <w:r>
              <w:rPr>
                <w:sz w:val="18"/>
              </w:rPr>
              <w:t>Booker no accede a otra organización alterando organizationId.</w:t>
            </w:r>
          </w:p>
        </w:tc>
        <w:tc>
          <w:tcPr>
            <w:tcW w:type="dxa" w:w="1123"/>
            <w:vAlign w:val="center"/>
            <w:shd w:fill="F7F9FD"/>
          </w:tcPr>
          <w:p>
            <w:pPr>
              <w:pStyle w:val="TableBody"/>
            </w:pPr>
            <w:r>
              <w:rPr>
                <w:sz w:val="18"/>
              </w:rPr>
              <w:t>API</w:t>
            </w:r>
          </w:p>
        </w:tc>
      </w:tr>
      <w:tr>
        <w:trPr>
          <w:cantSplit/>
        </w:trPr>
        <w:tc>
          <w:tcPr>
            <w:tcW w:type="dxa" w:w="994"/>
            <w:vAlign w:val="center"/>
            <w:shd w:fill="FFFFFF"/>
          </w:tcPr>
          <w:p>
            <w:pPr>
              <w:pStyle w:val="TableBody"/>
            </w:pPr>
            <w:r>
              <w:rPr>
                <w:sz w:val="18"/>
              </w:rPr>
              <w:t>QA-G02</w:t>
            </w:r>
          </w:p>
        </w:tc>
        <w:tc>
          <w:tcPr>
            <w:tcW w:type="dxa" w:w="7992"/>
            <w:vAlign w:val="center"/>
            <w:shd w:fill="FFFFFF"/>
          </w:tcPr>
          <w:p>
            <w:pPr>
              <w:pStyle w:val="TableBody"/>
            </w:pPr>
            <w:r>
              <w:rPr>
                <w:sz w:val="18"/>
              </w:rPr>
              <w:t>Administrador corporativo no obtiene funciones ASCENTA_ADMIN.</w:t>
            </w:r>
          </w:p>
        </w:tc>
        <w:tc>
          <w:tcPr>
            <w:tcW w:type="dxa" w:w="1123"/>
            <w:vAlign w:val="center"/>
            <w:shd w:fill="FFFFFF"/>
          </w:tcPr>
          <w:p>
            <w:pPr>
              <w:pStyle w:val="TableBody"/>
            </w:pPr>
            <w:r>
              <w:rPr>
                <w:sz w:val="18"/>
              </w:rPr>
              <w:t>API</w:t>
            </w:r>
          </w:p>
        </w:tc>
      </w:tr>
      <w:tr>
        <w:trPr>
          <w:cantSplit/>
        </w:trPr>
        <w:tc>
          <w:tcPr>
            <w:tcW w:type="dxa" w:w="994"/>
            <w:vAlign w:val="center"/>
            <w:shd w:fill="F7F9FD"/>
          </w:tcPr>
          <w:p>
            <w:pPr>
              <w:pStyle w:val="TableBody"/>
            </w:pPr>
            <w:r>
              <w:rPr>
                <w:sz w:val="18"/>
              </w:rPr>
              <w:t>QA-G03</w:t>
            </w:r>
          </w:p>
        </w:tc>
        <w:tc>
          <w:tcPr>
            <w:tcW w:type="dxa" w:w="7992"/>
            <w:vAlign w:val="center"/>
            <w:shd w:fill="F7F9FD"/>
          </w:tcPr>
          <w:p>
            <w:pPr>
              <w:pStyle w:val="TableBody"/>
            </w:pPr>
            <w:r>
              <w:rPr>
                <w:sz w:val="18"/>
              </w:rPr>
              <w:t>Permisos se aplican también en CSV, filtros y detalles.</w:t>
            </w:r>
          </w:p>
        </w:tc>
        <w:tc>
          <w:tcPr>
            <w:tcW w:type="dxa" w:w="1123"/>
            <w:vAlign w:val="center"/>
            <w:shd w:fill="F7F9FD"/>
          </w:tcPr>
          <w:p>
            <w:pPr>
              <w:pStyle w:val="TableBody"/>
            </w:pPr>
            <w:r>
              <w:rPr>
                <w:sz w:val="18"/>
              </w:rPr>
              <w:t>API</w:t>
            </w:r>
          </w:p>
        </w:tc>
      </w:tr>
      <w:tr>
        <w:trPr>
          <w:cantSplit/>
        </w:trPr>
        <w:tc>
          <w:tcPr>
            <w:tcW w:type="dxa" w:w="994"/>
            <w:vAlign w:val="center"/>
            <w:shd w:fill="FFFFFF"/>
          </w:tcPr>
          <w:p>
            <w:pPr>
              <w:pStyle w:val="TableBody"/>
            </w:pPr>
            <w:r>
              <w:rPr>
                <w:sz w:val="18"/>
              </w:rPr>
              <w:t>QA-G04</w:t>
            </w:r>
          </w:p>
        </w:tc>
        <w:tc>
          <w:tcPr>
            <w:tcW w:type="dxa" w:w="7992"/>
            <w:vAlign w:val="center"/>
            <w:shd w:fill="FFFFFF"/>
          </w:tcPr>
          <w:p>
            <w:pPr>
              <w:pStyle w:val="TableBody"/>
            </w:pPr>
            <w:r>
              <w:rPr>
                <w:sz w:val="18"/>
              </w:rPr>
              <w:t>Alta/consulta empresarial no concede crédito o facturación mensual.</w:t>
            </w:r>
          </w:p>
        </w:tc>
        <w:tc>
          <w:tcPr>
            <w:tcW w:type="dxa" w:w="1123"/>
            <w:vAlign w:val="center"/>
            <w:shd w:fill="FFFFFF"/>
          </w:tcPr>
          <w:p>
            <w:pPr>
              <w:pStyle w:val="TableBody"/>
            </w:pPr>
            <w:r>
              <w:rPr>
                <w:sz w:val="18"/>
              </w:rPr>
              <w:t>UI/API</w:t>
            </w:r>
          </w:p>
        </w:tc>
      </w:tr>
      <w:tr>
        <w:trPr>
          <w:cantSplit/>
        </w:trPr>
        <w:tc>
          <w:tcPr>
            <w:tcW w:type="dxa" w:w="994"/>
            <w:vAlign w:val="center"/>
            <w:shd w:fill="F7F9FD"/>
          </w:tcPr>
          <w:p>
            <w:pPr>
              <w:pStyle w:val="TableBody"/>
            </w:pPr>
            <w:r>
              <w:rPr>
                <w:sz w:val="18"/>
              </w:rPr>
              <w:t>QA-G05</w:t>
            </w:r>
          </w:p>
        </w:tc>
        <w:tc>
          <w:tcPr>
            <w:tcW w:type="dxa" w:w="7992"/>
            <w:vAlign w:val="center"/>
            <w:shd w:fill="F7F9FD"/>
          </w:tcPr>
          <w:p>
            <w:pPr>
              <w:pStyle w:val="TableBody"/>
            </w:pPr>
            <w:r>
              <w:rPr>
                <w:sz w:val="18"/>
              </w:rPr>
              <w:t>Contacto genera referencia solo si se guardó y tiene recepción operativa.</w:t>
            </w:r>
          </w:p>
        </w:tc>
        <w:tc>
          <w:tcPr>
            <w:tcW w:type="dxa" w:w="1123"/>
            <w:vAlign w:val="center"/>
            <w:shd w:fill="F7F9FD"/>
          </w:tcPr>
          <w:p>
            <w:pPr>
              <w:pStyle w:val="TableBody"/>
            </w:pPr>
            <w:r>
              <w:rPr>
                <w:sz w:val="18"/>
              </w:rPr>
              <w:t>UI/API/DB</w:t>
            </w:r>
          </w:p>
        </w:tc>
      </w:tr>
      <w:tr>
        <w:trPr>
          <w:cantSplit/>
        </w:trPr>
        <w:tc>
          <w:tcPr>
            <w:tcW w:type="dxa" w:w="994"/>
            <w:vAlign w:val="center"/>
            <w:shd w:fill="FFFFFF"/>
          </w:tcPr>
          <w:p>
            <w:pPr>
              <w:pStyle w:val="TableBody"/>
            </w:pPr>
            <w:r>
              <w:rPr>
                <w:sz w:val="18"/>
              </w:rPr>
              <w:t>QA-G06</w:t>
            </w:r>
          </w:p>
        </w:tc>
        <w:tc>
          <w:tcPr>
            <w:tcW w:type="dxa" w:w="7992"/>
            <w:vAlign w:val="center"/>
            <w:shd w:fill="FFFFFF"/>
          </w:tcPr>
          <w:p>
            <w:pPr>
              <w:pStyle w:val="TableBody"/>
            </w:pPr>
            <w:r>
              <w:rPr>
                <w:sz w:val="18"/>
              </w:rPr>
              <w:t>Pago/tracking no integrado no se anuncia como disponible.</w:t>
            </w:r>
          </w:p>
        </w:tc>
        <w:tc>
          <w:tcPr>
            <w:tcW w:type="dxa" w:w="1123"/>
            <w:vAlign w:val="center"/>
            <w:shd w:fill="FFFFFF"/>
          </w:tcPr>
          <w:p>
            <w:pPr>
              <w:pStyle w:val="TableBody"/>
            </w:pPr>
            <w:r>
              <w:rPr>
                <w:sz w:val="18"/>
              </w:rPr>
              <w:t>UI/CFG</w:t>
            </w:r>
          </w:p>
        </w:tc>
      </w:tr>
      <w:tr>
        <w:trPr>
          <w:cantSplit/>
        </w:trPr>
        <w:tc>
          <w:tcPr>
            <w:tcW w:type="dxa" w:w="994"/>
            <w:vAlign w:val="center"/>
            <w:shd w:fill="F7F9FD"/>
          </w:tcPr>
          <w:p>
            <w:pPr>
              <w:pStyle w:val="TableBody"/>
            </w:pPr>
            <w:r>
              <w:rPr>
                <w:sz w:val="18"/>
              </w:rPr>
              <w:t>QA-G07</w:t>
            </w:r>
          </w:p>
        </w:tc>
        <w:tc>
          <w:tcPr>
            <w:tcW w:type="dxa" w:w="7992"/>
            <w:vAlign w:val="center"/>
            <w:shd w:fill="F7F9FD"/>
          </w:tcPr>
          <w:p>
            <w:pPr>
              <w:pStyle w:val="TableBody"/>
            </w:pPr>
            <w:r>
              <w:rPr>
                <w:sz w:val="18"/>
              </w:rPr>
              <w:t>Fallo de notificación conserva operación y permite reintento sin duplicación.</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QA-H01</w:t>
            </w:r>
          </w:p>
        </w:tc>
        <w:tc>
          <w:tcPr>
            <w:tcW w:type="dxa" w:w="7992"/>
            <w:vAlign w:val="center"/>
            <w:shd w:fill="FFFFFF"/>
          </w:tcPr>
          <w:p>
            <w:pPr>
              <w:pStyle w:val="TableBody"/>
            </w:pPr>
            <w:r>
              <w:rPr>
                <w:sz w:val="18"/>
              </w:rPr>
              <w:t>MySQL efectivo de pruebas coincide entre API, migración y runner.</w:t>
            </w:r>
          </w:p>
        </w:tc>
        <w:tc>
          <w:tcPr>
            <w:tcW w:type="dxa" w:w="1123"/>
            <w:vAlign w:val="center"/>
            <w:shd w:fill="FFFFFF"/>
          </w:tcPr>
          <w:p>
            <w:pPr>
              <w:pStyle w:val="TableBody"/>
            </w:pPr>
            <w:r>
              <w:rPr>
                <w:sz w:val="18"/>
              </w:rPr>
              <w:t>DB/CFG</w:t>
            </w:r>
          </w:p>
        </w:tc>
      </w:tr>
      <w:tr>
        <w:trPr>
          <w:cantSplit/>
        </w:trPr>
        <w:tc>
          <w:tcPr>
            <w:tcW w:type="dxa" w:w="994"/>
            <w:vAlign w:val="center"/>
            <w:shd w:fill="F7F9FD"/>
          </w:tcPr>
          <w:p>
            <w:pPr>
              <w:pStyle w:val="TableBody"/>
            </w:pPr>
            <w:r>
              <w:rPr>
                <w:sz w:val="18"/>
              </w:rPr>
              <w:t>QA-H02</w:t>
            </w:r>
          </w:p>
        </w:tc>
        <w:tc>
          <w:tcPr>
            <w:tcW w:type="dxa" w:w="7992"/>
            <w:vAlign w:val="center"/>
            <w:shd w:fill="F7F9FD"/>
          </w:tcPr>
          <w:p>
            <w:pPr>
              <w:pStyle w:val="TableBody"/>
            </w:pPr>
            <w:r>
              <w:rPr>
                <w:sz w:val="18"/>
              </w:rPr>
              <w:t>Migración aditiva conserva datos existentes de fixture representativo.</w:t>
            </w:r>
          </w:p>
        </w:tc>
        <w:tc>
          <w:tcPr>
            <w:tcW w:type="dxa" w:w="1123"/>
            <w:vAlign w:val="center"/>
            <w:shd w:fill="F7F9FD"/>
          </w:tcPr>
          <w:p>
            <w:pPr>
              <w:pStyle w:val="TableBody"/>
            </w:pPr>
            <w:r>
              <w:rPr>
                <w:sz w:val="18"/>
              </w:rPr>
              <w:t>DB</w:t>
            </w:r>
          </w:p>
        </w:tc>
      </w:tr>
      <w:tr>
        <w:trPr>
          <w:cantSplit/>
        </w:trPr>
        <w:tc>
          <w:tcPr>
            <w:tcW w:type="dxa" w:w="994"/>
            <w:vAlign w:val="center"/>
            <w:shd w:fill="FFFFFF"/>
          </w:tcPr>
          <w:p>
            <w:pPr>
              <w:pStyle w:val="TableBody"/>
            </w:pPr>
            <w:r>
              <w:rPr>
                <w:sz w:val="18"/>
              </w:rPr>
              <w:t>QA-H03</w:t>
            </w:r>
          </w:p>
        </w:tc>
        <w:tc>
          <w:tcPr>
            <w:tcW w:type="dxa" w:w="7992"/>
            <w:vAlign w:val="center"/>
            <w:shd w:fill="FFFFFF"/>
          </w:tcPr>
          <w:p>
            <w:pPr>
              <w:pStyle w:val="TableBody"/>
            </w:pPr>
            <w:r>
              <w:rPr>
                <w:sz w:val="18"/>
              </w:rPr>
              <w:t>API v1 conserva recorridos soportados después de integrar cambios.</w:t>
            </w:r>
          </w:p>
        </w:tc>
        <w:tc>
          <w:tcPr>
            <w:tcW w:type="dxa" w:w="1123"/>
            <w:vAlign w:val="center"/>
            <w:shd w:fill="FFFFFF"/>
          </w:tcPr>
          <w:p>
            <w:pPr>
              <w:pStyle w:val="TableBody"/>
            </w:pPr>
            <w:r>
              <w:rPr>
                <w:sz w:val="18"/>
              </w:rPr>
              <w:t>API</w:t>
            </w:r>
          </w:p>
        </w:tc>
      </w:tr>
      <w:tr>
        <w:trPr>
          <w:cantSplit/>
        </w:trPr>
        <w:tc>
          <w:tcPr>
            <w:tcW w:type="dxa" w:w="994"/>
            <w:vAlign w:val="center"/>
            <w:shd w:fill="F7F9FD"/>
          </w:tcPr>
          <w:p>
            <w:pPr>
              <w:pStyle w:val="TableBody"/>
            </w:pPr>
            <w:r>
              <w:rPr>
                <w:sz w:val="18"/>
              </w:rPr>
              <w:t>QA-H04</w:t>
            </w:r>
          </w:p>
        </w:tc>
        <w:tc>
          <w:tcPr>
            <w:tcW w:type="dxa" w:w="7992"/>
            <w:vAlign w:val="center"/>
            <w:shd w:fill="F7F9FD"/>
          </w:tcPr>
          <w:p>
            <w:pPr>
              <w:pStyle w:val="TableBody"/>
            </w:pPr>
            <w:r>
              <w:rPr>
                <w:sz w:val="18"/>
              </w:rPr>
              <w:t>v1/v2 tienen estrategia explícita; no credenciales/cuentas duplicadas ocultas.</w:t>
            </w:r>
          </w:p>
        </w:tc>
        <w:tc>
          <w:tcPr>
            <w:tcW w:type="dxa" w:w="1123"/>
            <w:vAlign w:val="center"/>
            <w:shd w:fill="F7F9FD"/>
          </w:tcPr>
          <w:p>
            <w:pPr>
              <w:pStyle w:val="TableBody"/>
            </w:pPr>
            <w:r>
              <w:rPr>
                <w:sz w:val="18"/>
              </w:rPr>
              <w:t>API/DB</w:t>
            </w:r>
          </w:p>
        </w:tc>
      </w:tr>
      <w:tr>
        <w:trPr>
          <w:cantSplit/>
        </w:trPr>
        <w:tc>
          <w:tcPr>
            <w:tcW w:type="dxa" w:w="994"/>
            <w:vAlign w:val="center"/>
            <w:shd w:fill="FFFFFF"/>
          </w:tcPr>
          <w:p>
            <w:pPr>
              <w:pStyle w:val="TableBody"/>
            </w:pPr>
            <w:r>
              <w:rPr>
                <w:sz w:val="18"/>
              </w:rPr>
              <w:t>QA-H05</w:t>
            </w:r>
          </w:p>
        </w:tc>
        <w:tc>
          <w:tcPr>
            <w:tcW w:type="dxa" w:w="7992"/>
            <w:vAlign w:val="center"/>
            <w:shd w:fill="FFFFFF"/>
          </w:tcPr>
          <w:p>
            <w:pPr>
              <w:pStyle w:val="TableBody"/>
            </w:pPr>
            <w:r>
              <w:rPr>
                <w:sz w:val="18"/>
              </w:rPr>
              <w:t>Demo/archivo/buzón no arrancan como producción accidentalmente.</w:t>
            </w:r>
          </w:p>
        </w:tc>
        <w:tc>
          <w:tcPr>
            <w:tcW w:type="dxa" w:w="1123"/>
            <w:vAlign w:val="center"/>
            <w:shd w:fill="FFFFFF"/>
          </w:tcPr>
          <w:p>
            <w:pPr>
              <w:pStyle w:val="TableBody"/>
            </w:pPr>
            <w:r>
              <w:rPr>
                <w:sz w:val="18"/>
              </w:rPr>
              <w:t>CFG</w:t>
            </w:r>
          </w:p>
        </w:tc>
      </w:tr>
      <w:tr>
        <w:trPr>
          <w:cantSplit/>
        </w:trPr>
        <w:tc>
          <w:tcPr>
            <w:tcW w:type="dxa" w:w="994"/>
            <w:vAlign w:val="center"/>
            <w:shd w:fill="F7F9FD"/>
          </w:tcPr>
          <w:p>
            <w:pPr>
              <w:pStyle w:val="TableBody"/>
            </w:pPr>
            <w:r>
              <w:rPr>
                <w:sz w:val="18"/>
              </w:rPr>
              <w:t>QA-H06</w:t>
            </w:r>
          </w:p>
        </w:tc>
        <w:tc>
          <w:tcPr>
            <w:tcW w:type="dxa" w:w="7992"/>
            <w:vAlign w:val="center"/>
            <w:shd w:fill="F7F9FD"/>
          </w:tcPr>
          <w:p>
            <w:pPr>
              <w:pStyle w:val="TableBody"/>
            </w:pPr>
            <w:r>
              <w:rPr>
                <w:sz w:val="18"/>
              </w:rPr>
              <w:t>Typecheck, lint, tests y build del workspace nativo ejecutados y reportados.</w:t>
            </w:r>
          </w:p>
        </w:tc>
        <w:tc>
          <w:tcPr>
            <w:tcW w:type="dxa" w:w="1123"/>
            <w:vAlign w:val="center"/>
            <w:shd w:fill="F7F9FD"/>
          </w:tcPr>
          <w:p>
            <w:pPr>
              <w:pStyle w:val="TableBody"/>
            </w:pPr>
            <w:r>
              <w:rPr>
                <w:sz w:val="18"/>
              </w:rPr>
              <w:t>CFG</w:t>
            </w:r>
          </w:p>
        </w:tc>
      </w:tr>
      <w:tr>
        <w:trPr>
          <w:cantSplit/>
        </w:trPr>
        <w:tc>
          <w:tcPr>
            <w:tcW w:type="dxa" w:w="994"/>
            <w:vAlign w:val="center"/>
            <w:shd w:fill="FFFFFF"/>
          </w:tcPr>
          <w:p>
            <w:pPr>
              <w:pStyle w:val="TableBody"/>
            </w:pPr>
            <w:r>
              <w:rPr>
                <w:sz w:val="18"/>
              </w:rPr>
              <w:t>QA-H07</w:t>
            </w:r>
          </w:p>
        </w:tc>
        <w:tc>
          <w:tcPr>
            <w:tcW w:type="dxa" w:w="7992"/>
            <w:vAlign w:val="center"/>
            <w:shd w:fill="FFFFFF"/>
          </w:tcPr>
          <w:p>
            <w:pPr>
              <w:pStyle w:val="TableBody"/>
            </w:pPr>
            <w:r>
              <w:rPr>
                <w:sz w:val="18"/>
              </w:rPr>
              <w:t>Navegador real abre rutas directas, recarga, back/forward y deep links.</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QA-H08</w:t>
            </w:r>
          </w:p>
        </w:tc>
        <w:tc>
          <w:tcPr>
            <w:tcW w:type="dxa" w:w="7992"/>
            <w:vAlign w:val="center"/>
            <w:shd w:fill="F7F9FD"/>
          </w:tcPr>
          <w:p>
            <w:pPr>
              <w:pStyle w:val="TableBody"/>
            </w:pPr>
            <w:r>
              <w:rPr>
                <w:sz w:val="18"/>
              </w:rPr>
              <w:t>Comprobación visual de todas las pantallas en escritorio y móvil.</w:t>
            </w:r>
          </w:p>
        </w:tc>
        <w:tc>
          <w:tcPr>
            <w:tcW w:type="dxa" w:w="1123"/>
            <w:vAlign w:val="center"/>
            <w:shd w:fill="F7F9FD"/>
          </w:tcPr>
          <w:p>
            <w:pPr>
              <w:pStyle w:val="TableBody"/>
            </w:pPr>
            <w:r>
              <w:rPr>
                <w:sz w:val="18"/>
              </w:rPr>
              <w:t>VIS</w:t>
            </w:r>
          </w:p>
        </w:tc>
      </w:tr>
      <w:tr>
        <w:trPr>
          <w:cantSplit/>
        </w:trPr>
        <w:tc>
          <w:tcPr>
            <w:tcW w:type="dxa" w:w="994"/>
            <w:vAlign w:val="center"/>
            <w:shd w:fill="FFFFFF"/>
          </w:tcPr>
          <w:p>
            <w:pPr>
              <w:pStyle w:val="TableBody"/>
            </w:pPr>
            <w:r>
              <w:rPr>
                <w:sz w:val="18"/>
              </w:rPr>
              <w:t>QA-H09</w:t>
            </w:r>
          </w:p>
        </w:tc>
        <w:tc>
          <w:tcPr>
            <w:tcW w:type="dxa" w:w="7992"/>
            <w:vAlign w:val="center"/>
            <w:shd w:fill="FFFFFF"/>
          </w:tcPr>
          <w:p>
            <w:pPr>
              <w:pStyle w:val="TableBody"/>
            </w:pPr>
            <w:r>
              <w:rPr>
                <w:sz w:val="18"/>
              </w:rPr>
              <w:t>Revisión teclado, zoom/reflow y lector de pantalla del viaje principal.</w:t>
            </w:r>
          </w:p>
        </w:tc>
        <w:tc>
          <w:tcPr>
            <w:tcW w:type="dxa" w:w="1123"/>
            <w:vAlign w:val="center"/>
            <w:shd w:fill="FFFFFF"/>
          </w:tcPr>
          <w:p>
            <w:pPr>
              <w:pStyle w:val="TableBody"/>
            </w:pPr>
            <w:r>
              <w:rPr>
                <w:sz w:val="18"/>
              </w:rPr>
              <w:t>UI</w:t>
            </w:r>
          </w:p>
        </w:tc>
      </w:tr>
      <w:tr>
        <w:trPr>
          <w:cantSplit/>
        </w:trPr>
        <w:tc>
          <w:tcPr>
            <w:tcW w:type="dxa" w:w="994"/>
            <w:vAlign w:val="center"/>
            <w:shd w:fill="F7F9FD"/>
          </w:tcPr>
          <w:p>
            <w:pPr>
              <w:pStyle w:val="TableBody"/>
            </w:pPr>
            <w:r>
              <w:rPr>
                <w:sz w:val="18"/>
              </w:rPr>
              <w:t>QA-H10</w:t>
            </w:r>
          </w:p>
        </w:tc>
        <w:tc>
          <w:tcPr>
            <w:tcW w:type="dxa" w:w="7992"/>
            <w:vAlign w:val="center"/>
            <w:shd w:fill="F7F9FD"/>
          </w:tcPr>
          <w:p>
            <w:pPr>
              <w:pStyle w:val="TableBody"/>
            </w:pPr>
            <w:r>
              <w:rPr>
                <w:sz w:val="18"/>
              </w:rPr>
              <w:t>Commit y ref remota comprobables; no documentos privados ni secretos incluidos.</w:t>
            </w:r>
          </w:p>
        </w:tc>
        <w:tc>
          <w:tcPr>
            <w:tcW w:type="dxa" w:w="1123"/>
            <w:vAlign w:val="center"/>
            <w:shd w:fill="F7F9FD"/>
          </w:tcPr>
          <w:p>
            <w:pPr>
              <w:pStyle w:val="TableBody"/>
            </w:pPr>
            <w:r>
              <w:rPr>
                <w:sz w:val="18"/>
              </w:rPr>
              <w:t>CFG</w:t>
            </w:r>
          </w:p>
        </w:tc>
      </w:tr>
    </w:tbl>
    <w:p>
      <w:pPr>
        <w:spacing w:after="40"/>
      </w:pPr>
    </w:p>
    <w:p>
      <w:pPr>
        <w:pStyle w:val="Heading2"/>
      </w:pPr>
      <w:r>
        <w:t>29.3 Comandos del workspace</w:t>
      </w:r>
    </w:p>
    <w:p>
      <w:r>
        <w:t xml:space="preserve">Revisa primero qué scripts existen en el HEAD real. La base documentaba los siguientes; el candidato añadía </w:t>
      </w:r>
      <w:r>
        <w:rPr>
          <w:rFonts w:ascii="Liberation Mono" w:hAnsi="Liberation Mono"/>
          <w:color w:val="001030"/>
          <w:sz w:val="18"/>
        </w:rPr>
        <w:t>test:ascenta</w:t>
      </w:r>
      <w:r>
        <w:t xml:space="preserve"> y arranques específicos. Ejecutar un nombre que no existe no es una prueba fallida del diseño: incorpora el script solo si su implementación forma parte del lote.</w:t>
      </w:r>
    </w:p>
    <w:p>
      <w:pPr>
        <w:pStyle w:val="CodeBlock"/>
        <w:keepNext/>
        <w:shd w:fill="F7F9FD"/>
      </w:pPr>
      <w:r>
        <w:t>pnpm install --frozen-lockfile</w:t>
      </w:r>
    </w:p>
    <w:p>
      <w:pPr>
        <w:pStyle w:val="CodeBlock"/>
        <w:keepNext/>
        <w:shd w:fill="F7F9FD"/>
      </w:pPr>
      <w:r>
        <w:t>pnpm typecheck</w:t>
      </w:r>
    </w:p>
    <w:p>
      <w:pPr>
        <w:pStyle w:val="CodeBlock"/>
        <w:keepNext/>
        <w:shd w:fill="F7F9FD"/>
      </w:pPr>
      <w:r>
        <w:t>pnpm lint</w:t>
      </w:r>
    </w:p>
    <w:p>
      <w:pPr>
        <w:pStyle w:val="CodeBlock"/>
        <w:keepNext/>
        <w:shd w:fill="F7F9FD"/>
      </w:pPr>
      <w:r>
        <w:t>pnpm test</w:t>
      </w:r>
    </w:p>
    <w:p>
      <w:pPr>
        <w:pStyle w:val="CodeBlock"/>
        <w:keepNext/>
        <w:shd w:fill="F7F9FD"/>
      </w:pPr>
      <w:r>
        <w:t>pnpm test:e2e</w:t>
      </w:r>
    </w:p>
    <w:p>
      <w:pPr>
        <w:pStyle w:val="CodeBlock"/>
        <w:keepNext/>
        <w:shd w:fill="F7F9FD"/>
      </w:pPr>
      <w:r>
        <w:t>pnpm build</w:t>
      </w:r>
    </w:p>
    <w:p>
      <w:pPr>
        <w:pStyle w:val="CodeBlock"/>
        <w:keepNext w:val="0"/>
        <w:shd w:fill="F7F9FD"/>
      </w:pPr>
      <w:r>
        <w:t>pnpm test:visual</w:t>
      </w:r>
    </w:p>
    <w:p>
      <w:pPr>
        <w:spacing w:after="20"/>
      </w:pPr>
    </w:p>
    <w:p>
      <w:r>
        <w:t xml:space="preserve">Antes de tests que escriban en DB, confirma aislamiento y configuración. Antes de generación/migración, revisa si el comando modifica datos. No lances automáticamente </w:t>
      </w:r>
      <w:r>
        <w:rPr>
          <w:rFonts w:ascii="Liberation Mono" w:hAnsi="Liberation Mono"/>
          <w:color w:val="001030"/>
          <w:sz w:val="18"/>
        </w:rPr>
        <w:t>db:seed</w:t>
      </w:r>
      <w:r>
        <w:t xml:space="preserve"> como parte de “verificar estilos”. Añade pruebas navegador reales conforme a herramientas disponibles; si hace falta una dependencia de desarrollo, justifica versión y uso sin migrar el stack.</w:t>
      </w:r>
    </w:p>
    <w:p>
      <w:r>
        <w:t>Los resultados deben pertenecer al mismo commit entregado. Si corriges código después de una captura o test, repite lo afectado. No cambies el manifiesto de evidencia para que coincida con un hash nuevo sin haber renderizado la interfaz.</w:t>
      </w:r>
    </w:p>
    <w:p>
      <w:pPr>
        <w:pStyle w:val="Heading1"/>
      </w:pPr>
      <w:r>
        <w:t>30. Git, rama y entrega local</w:t>
      </w:r>
    </w:p>
    <w:p>
      <w:pPr>
        <w:pStyle w:val="Heading2"/>
      </w:pPr>
      <w:r>
        <w:t>30.1 Estrategia segura</w:t>
      </w:r>
    </w:p>
    <w:p>
      <w:r>
        <w:t xml:space="preserve">Usa </w:t>
      </w:r>
      <w:r>
        <w:rPr>
          <w:rFonts w:ascii="Liberation Mono" w:hAnsi="Liberation Mono"/>
          <w:color w:val="001030"/>
          <w:sz w:val="18"/>
        </w:rPr>
        <w:t>feature/ascenta-integracion-v1</w:t>
      </w:r>
      <w:r>
        <w:t xml:space="preserve"> si no existe y sigue siendo apropiada; si ya existe con trabajo válido, revisa y continúa allí o crea una rama sucesora documentada. No sobrescribas una rama existente ni reescribas su historial para obtener el nombre sugerido. La base es la rama de producto vigente, no </w:t>
      </w:r>
      <w:r>
        <w:rPr>
          <w:rFonts w:ascii="Liberation Mono" w:hAnsi="Liberation Mono"/>
          <w:color w:val="001030"/>
          <w:sz w:val="18"/>
        </w:rPr>
        <w:t>main</w:t>
      </w:r>
      <w:r>
        <w:t xml:space="preserve"> por defecto.</w:t>
      </w:r>
    </w:p>
    <w:p>
      <w:r>
        <w:t>Un worktree separado permite conservar la carpeta abierta del usuario. Verifica el soporte y que el destino no exista; registra ruta y base. No tomes el commit antiguo como punto obligatorio si hay cambios posteriores que deben conservarse. [T02]</w:t>
      </w:r>
    </w:p>
    <w:p>
      <w:r>
        <w:t>Commits pequeños sugeridos: base/configuración, identidad, Home/movimiento, borrador/wizard, cuenta/sesión, portal/operación, empresa/contratos, aceptación. Ajusta el número al diff real. Un commit debe ser comprensible y no mezclar una migración grande con cambios tipográficos sin motivo.</w:t>
      </w:r>
    </w:p>
    <w:p>
      <w:r>
        <w:t>Antes de cada commit revisa diff, archivos staged, secretos, referencias ajenas y datos de prueba. No cambies autor global ni incluyas credenciales. Si un usuario ya hizo un commit local posterior, no lo pierdas al sincronizar.</w:t>
      </w:r>
    </w:p>
    <w:p>
      <w:pPr>
        <w:pStyle w:val="Heading2"/>
      </w:pPr>
      <w:r>
        <w:t>30.2 Publicación de la rama</w:t>
      </w:r>
    </w:p>
    <w:p>
      <w:r>
        <w:t xml:space="preserve">Cuando el alcance de ejecución esté autorizado y las comprobaciones estén documentadas, publica mediante push ordinario a la rama nueva. No force-push, no merge automático a </w:t>
      </w:r>
      <w:r>
        <w:rPr>
          <w:rFonts w:ascii="Liberation Mono" w:hAnsi="Liberation Mono"/>
          <w:color w:val="001030"/>
          <w:sz w:val="18"/>
        </w:rPr>
        <w:t>main</w:t>
      </w:r>
      <w:r>
        <w:t xml:space="preserve">, no despliegue. Verifica la referencia remota, reporta SHA local/remoto y, si procede, crea PR contra </w:t>
      </w:r>
      <w:r>
        <w:rPr>
          <w:rFonts w:ascii="Liberation Mono" w:hAnsi="Liberation Mono"/>
          <w:color w:val="001030"/>
          <w:sz w:val="18"/>
        </w:rPr>
        <w:t>migration/react-node-mysql</w:t>
      </w:r>
      <w:r>
        <w:t xml:space="preserve"> o la rama de producto realmente adoptada.</w:t>
      </w:r>
    </w:p>
    <w:p>
      <w:r>
        <w:t>Si GitHub devuelve falta de acceso, no simules publicación. Conserva el commit local y entrega un patch/bundle o diff reproducible con base exacta, además de comandos para que Isaac lo publique con su acceso. Los errores previos 403 no justifican probar tokens ajenos, cambiar de cuenta sin instrucción o prometer una rama inexistente.</w:t>
      </w:r>
    </w:p>
    <w:p>
      <w:pPr>
        <w:pStyle w:val="Heading2"/>
      </w:pPr>
      <w:r>
        <w:t>30.3 Instrucciones finales para Isaac</w:t>
      </w:r>
    </w:p>
    <w:p>
      <w:r>
        <w:t>Debes entregar comandos exactos basados en lo que realmente creaste. Incluye carpeta, rama, SHA, requisitos, variables sin secretos, instalación, arranque web/API, URL local y rutas. Si se requiere MySQL, detalla el paso separado de base de pruebas y migraciones; no lo escondas detrás de un comando de inicio que borre datos.</w:t>
      </w:r>
    </w:p>
    <w:p>
      <w:r>
        <w:t xml:space="preserve">Explica que </w:t>
      </w:r>
      <w:r>
        <w:rPr>
          <w:rFonts w:ascii="Liberation Mono" w:hAnsi="Liberation Mono"/>
          <w:color w:val="001030"/>
          <w:sz w:val="18"/>
        </w:rPr>
        <w:t>git fetch</w:t>
      </w:r>
      <w:r>
        <w:t xml:space="preserve"> trae referencias, pero no cambia por sí mismo la copia de trabajo. Da la instrucción correcta de checkout/tracking, actualización fast-forward o worktree según el caso, con protección de cambios locales. No entregues comandos con una rama supuesta o una ruta inventada de la PC.</w:t>
      </w:r>
    </w:p>
    <w:p>
      <w:r>
        <w:t xml:space="preserve">No presentes un servidor </w:t>
      </w:r>
      <w:r>
        <w:rPr>
          <w:rFonts w:ascii="Liberation Mono" w:hAnsi="Liberation Mono"/>
          <w:color w:val="001030"/>
          <w:sz w:val="18"/>
        </w:rPr>
        <w:t>4173</w:t>
      </w:r>
      <w:r>
        <w:t xml:space="preserve"> independiente o el HTML local como prueba de haber actualizado </w:t>
      </w:r>
      <w:r>
        <w:rPr>
          <w:rFonts w:ascii="Liberation Mono" w:hAnsi="Liberation Mono"/>
          <w:color w:val="001030"/>
          <w:sz w:val="18"/>
        </w:rPr>
        <w:t>apps/web</w:t>
      </w:r>
      <w:r>
        <w:t>. El usuario debe abrir la aplicación original con los cambios, normalmente en el puerto declarado por su configuración de desarrollo; reporta el puerto efectivo, no una suposición.</w:t>
      </w:r>
    </w:p>
    <w:p>
      <w:pPr>
        <w:pStyle w:val="Heading1"/>
      </w:pPr>
      <w:r>
        <w:t>31. Qué significa “completo” para este encargo</w:t>
      </w:r>
    </w:p>
    <w:p>
      <w:r>
        <w:rPr>
          <w:b/>
        </w:rPr>
        <w:t>Implementación de desarrollo completa:</w:t>
      </w:r>
      <w:r>
        <w:t xml:space="preserve"> las pantallas del alcance están integradas al workspace; identidad y navegación coherentes; flujo de solicitud/cuenta/recepción demostrable; contratos y persistencia válidos en el entorno comprobado; pruebas y build nativos ejecutados; diferencias y pendientes registrados; código entregado con historial y arranque reproducible.</w:t>
      </w:r>
    </w:p>
    <w:p>
      <w:r>
        <w:rPr>
          <w:b/>
        </w:rPr>
        <w:t>No equivale a lanzamiento comercial:</w:t>
      </w:r>
      <w:r>
        <w:t xml:space="preserve"> sigue requiriendo contenido/capacidades aprobados, derechos de fotos, políticas, proveedores, correo externo, configuración de seguridad y autorización de publicación. Una integración de revisión bloqueada para producción no se describe como producto listo para clientes.</w:t>
      </w:r>
    </w:p>
    <w:p>
      <w:r>
        <w:rPr>
          <w:b/>
        </w:rPr>
        <w:t>No aceptar como cierre:</w:t>
      </w:r>
      <w:r>
        <w:t xml:space="preserve"> solo un plan, solo capturas, otro HTML, una app paralela, un bundle con diferente React, botones con toasts simulados, build sin ejecutar, MySQL supuesto, cifras inventadas, PR sin los archivos correctos, o mensajes “listo” que no indiquen rutas ni evidencia.</w:t>
      </w:r>
    </w:p>
    <w:p>
      <w:r>
        <w:t xml:space="preserve">Si un bloqueo real impide una parte, completa las independientes y reporta exactamente la parte no verificada. No ocultes el bloqueo ni abandones toda la implementación por él. La entrega debe separar </w:t>
      </w:r>
      <w:r>
        <w:rPr>
          <w:rFonts w:ascii="Liberation Mono" w:hAnsi="Liberation Mono"/>
          <w:color w:val="001030"/>
          <w:sz w:val="18"/>
        </w:rPr>
        <w:t>implementado</w:t>
      </w:r>
      <w:r>
        <w:t xml:space="preserve">, </w:t>
      </w:r>
      <w:r>
        <w:rPr>
          <w:rFonts w:ascii="Liberation Mono" w:hAnsi="Liberation Mono"/>
          <w:color w:val="001030"/>
          <w:sz w:val="18"/>
        </w:rPr>
        <w:t>verificado en revisión</w:t>
      </w:r>
      <w:r>
        <w:t xml:space="preserve">, </w:t>
      </w:r>
      <w:r>
        <w:rPr>
          <w:rFonts w:ascii="Liberation Mono" w:hAnsi="Liberation Mono"/>
          <w:color w:val="001030"/>
          <w:sz w:val="18"/>
        </w:rPr>
        <w:t>verificado en MySQL</w:t>
      </w:r>
      <w:r>
        <w:t xml:space="preserve">, </w:t>
      </w:r>
      <w:r>
        <w:rPr>
          <w:rFonts w:ascii="Liberation Mono" w:hAnsi="Liberation Mono"/>
          <w:color w:val="001030"/>
          <w:sz w:val="18"/>
        </w:rPr>
        <w:t>pendiente de integración externa</w:t>
      </w:r>
      <w:r>
        <w:t xml:space="preserve"> y </w:t>
      </w:r>
      <w:r>
        <w:rPr>
          <w:rFonts w:ascii="Liberation Mono" w:hAnsi="Liberation Mono"/>
          <w:color w:val="001030"/>
          <w:sz w:val="18"/>
        </w:rPr>
        <w:t>no aprobado para producción</w:t>
      </w:r>
      <w:r>
        <w:t>.</w:t>
      </w:r>
    </w:p>
    <w:p>
      <w:pPr>
        <w:pStyle w:val="Heading1"/>
      </w:pPr>
      <w:r>
        <w:t>32. Informe final obligatorio de Codex</w:t>
      </w:r>
    </w:p>
    <w:p>
      <w:r>
        <w:t>Entrega un resumen útil seguido de evidencia verificable. No una lista de adjetivos como “modernizado” o “profesionalizado”.</w:t>
      </w:r>
    </w:p>
    <w:p>
      <w:pPr>
        <w:pStyle w:val="CodeBlock"/>
        <w:keepNext/>
        <w:shd w:fill="F7F9FD"/>
      </w:pPr>
      <w:r>
        <w:t>ASCENTA — ENTREGA DE IMPLEMENTACIÓN</w:t>
      </w:r>
    </w:p>
    <w:p>
      <w:pPr>
        <w:pStyle w:val="CodeBlock"/>
        <w:keepNext/>
        <w:shd w:fill="F7F9FD"/>
      </w:pPr>
      <w:r>
        <w:t xml:space="preserve"> </w:t>
      </w:r>
    </w:p>
    <w:p>
      <w:pPr>
        <w:pStyle w:val="CodeBlock"/>
        <w:keepNext/>
        <w:shd w:fill="F7F9FD"/>
      </w:pPr>
      <w:r>
        <w:t>1. Base real: repositorio, rama de origen, SHA inicial y diferencias protegidas.</w:t>
      </w:r>
    </w:p>
    <w:p>
      <w:pPr>
        <w:pStyle w:val="CodeBlock"/>
        <w:keepNext/>
        <w:shd w:fill="F7F9FD"/>
      </w:pPr>
      <w:r>
        <w:t>2. Resultado: qué recorridos ya funcionan en el workspace original.</w:t>
      </w:r>
    </w:p>
    <w:p>
      <w:pPr>
        <w:pStyle w:val="CodeBlock"/>
        <w:keepNext/>
        <w:shd w:fill="F7F9FD"/>
      </w:pPr>
      <w:r>
        <w:t>3. Rama y commit: nombre, SHA local, SHA remoto si existe y PR/base.</w:t>
      </w:r>
    </w:p>
    <w:p>
      <w:pPr>
        <w:pStyle w:val="CodeBlock"/>
        <w:keepNext/>
        <w:shd w:fill="F7F9FD"/>
      </w:pPr>
      <w:r>
        <w:t>4. Archivos: conservados, modificados, creados y retirados con motivo.</w:t>
      </w:r>
    </w:p>
    <w:p>
      <w:pPr>
        <w:pStyle w:val="CodeBlock"/>
        <w:keepNext/>
        <w:shd w:fill="F7F9FD"/>
      </w:pPr>
      <w:r>
        <w:t>5. Diseño: referencias utilizadas y desviaciones deliberadas por legibilidad/coherencia.</w:t>
      </w:r>
    </w:p>
    <w:p>
      <w:pPr>
        <w:pStyle w:val="CodeBlock"/>
        <w:keepNext/>
        <w:shd w:fill="F7F9FD"/>
      </w:pPr>
      <w:r>
        <w:t>6. Datos: API utilizada, estrategia v1/v2, cookies, adaptador y DB efectiva sin secretos.</w:t>
      </w:r>
    </w:p>
    <w:p>
      <w:pPr>
        <w:pStyle w:val="CodeBlock"/>
        <w:keepNext/>
        <w:shd w:fill="F7F9FD"/>
      </w:pPr>
      <w:r>
        <w:t>7. Pruebas: comandos, runtime, fecha, modo, resultados y evidencia por capa.</w:t>
      </w:r>
    </w:p>
    <w:p>
      <w:pPr>
        <w:pStyle w:val="CodeBlock"/>
        <w:keepNext/>
        <w:shd w:fill="F7F9FD"/>
      </w:pPr>
      <w:r>
        <w:t>8. Revisión visual: capturas nuevas y recorrido de scroll escritorio/móvil.</w:t>
      </w:r>
    </w:p>
    <w:p>
      <w:pPr>
        <w:pStyle w:val="CodeBlock"/>
        <w:keepNext/>
        <w:shd w:fill="F7F9FD"/>
      </w:pPr>
      <w:r>
        <w:t>9. Límites: pruebas no ejecutadas, integración externa pendiente y bloqueos comerciales.</w:t>
      </w:r>
    </w:p>
    <w:p>
      <w:pPr>
        <w:pStyle w:val="CodeBlock"/>
        <w:keepNext/>
        <w:shd w:fill="F7F9FD"/>
      </w:pPr>
      <w:r>
        <w:t>10. Arranque de Isaac: carpeta, instalación, variables, comandos y URLs reales.</w:t>
      </w:r>
    </w:p>
    <w:p>
      <w:pPr>
        <w:pStyle w:val="CodeBlock"/>
        <w:keepNext/>
        <w:shd w:fill="F7F9FD"/>
      </w:pPr>
      <w:r>
        <w:t>11. Recuperación: checkpoint, reversión de código y tratamiento separado de migraciones.</w:t>
      </w:r>
    </w:p>
    <w:p>
      <w:pPr>
        <w:pStyle w:val="CodeBlock"/>
        <w:keepNext w:val="0"/>
        <w:shd w:fill="F7F9FD"/>
      </w:pPr>
      <w:r>
        <w:t>12. Próxima decisión necesaria: solo la que bloquee una capacidad concreta.</w:t>
      </w:r>
    </w:p>
    <w:p>
      <w:pPr>
        <w:spacing w:after="20"/>
      </w:pPr>
    </w:p>
    <w:p>
      <w:r>
        <w:t>Adjunta capturas del estado actual, no las referencias de este kit como si fueran resultado de tu trabajo. Identifica si una captura pertenece a revisión con archivo o a MySQL. No expongas la clave del buzón, tokens o datos reales. Conserva un registro de errores corregidos y regresiones relevantes.</w:t>
      </w:r>
    </w:p>
    <w:p>
      <w:pPr>
        <w:pStyle w:val="Heading1"/>
      </w:pPr>
      <w:r>
        <w:t>33. Continuidad para tareas largas y sesiones posteriores</w:t>
      </w:r>
    </w:p>
    <w:p>
      <w:r>
        <w:t xml:space="preserve">Este encargo puede requerir varios lotes y sesiones. Eso no autoriza reiniciar diseño cada vez ni perder lo ya implementado. Mantén un estado compacto en </w:t>
      </w:r>
      <w:r>
        <w:rPr>
          <w:rFonts w:ascii="Liberation Mono" w:hAnsi="Liberation Mono"/>
          <w:color w:val="001030"/>
          <w:sz w:val="18"/>
        </w:rPr>
        <w:t>docs/ascenta/EXECUTION_STATE.md</w:t>
      </w:r>
      <w:r>
        <w:t xml:space="preserve"> con fuentes, decisiones adoptadas, rama/HEAD, lotes, archivos, pruebas y siguiente acción precisa.</w:t>
      </w:r>
    </w:p>
    <w:p>
      <w:r>
        <w:t xml:space="preserve">Al reanudar: lee el estado, ejecuta </w:t>
      </w:r>
      <w:r>
        <w:rPr>
          <w:rFonts w:ascii="Liberation Mono" w:hAnsi="Liberation Mono"/>
          <w:color w:val="001030"/>
          <w:sz w:val="18"/>
        </w:rPr>
        <w:t>git status</w:t>
      </w:r>
      <w:r>
        <w:t>, verifica HEAD/diff y comprueba qué cambió desde la última sesión. Una casilla “terminado” no reemplaza evidencia del commit. Vuelve a leer las secciones del maestro relevantes al lote actual; no confíes en que todo el contenido siga en contexto.</w:t>
      </w:r>
    </w:p>
    <w:p>
      <w:r>
        <w:t xml:space="preserve">Puedes incorporar un addendum breve al </w:t>
      </w:r>
      <w:r>
        <w:rPr>
          <w:rFonts w:ascii="Liberation Mono" w:hAnsi="Liberation Mono"/>
          <w:color w:val="001030"/>
          <w:sz w:val="18"/>
        </w:rPr>
        <w:t>AGENTS.md</w:t>
      </w:r>
      <w:r>
        <w:t xml:space="preserve"> existente, sin sobrescribir sus reglas válidas. No copies este documento entero allí: debe ser un índice operativo corto con referencia al maestro y límites esenciales. La documentación oficial describe un límite de carga de instrucciones y precedencia por directorios; no asumas carga infinita o automática de todos los adjuntos. [T01]</w:t>
      </w:r>
    </w:p>
    <w:p>
      <w:r>
        <w:t>No crees nuevos documentos maestros contradictorios por cada lote. Actualiza el registro de decisiones con origen, fecha, estado y requisito sustituido. Los Word iniciales se mantienen como historial de referencia; los requisitos técnicos vigentes quedan en este guion y sus decisiones fechadas.</w:t>
      </w:r>
    </w:p>
    <w:p>
      <w:pPr>
        <w:pStyle w:val="Heading1"/>
      </w:pPr>
      <w:r>
        <w:t>34. Pendientes que no se inventan</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2016"/>
        <w:gridCol w:w="4104"/>
        <w:gridCol w:w="3989"/>
      </w:tblGrid>
      <w:tr>
        <w:trPr>
          <w:cantSplit/>
          <w:tblHeader/>
        </w:trPr>
        <w:tc>
          <w:tcPr>
            <w:tcW w:type="dxa" w:w="2016"/>
            <w:vAlign w:val="center"/>
            <w:shd w:fill="001030"/>
          </w:tcPr>
          <w:p>
            <w:pPr>
              <w:pStyle w:val="TableBody"/>
            </w:pPr>
            <w:r>
              <w:rPr>
                <w:b/>
                <w:color w:val="FFFFFF"/>
                <w:sz w:val="18"/>
              </w:rPr>
              <w:t>Pendiente</w:t>
            </w:r>
          </w:p>
        </w:tc>
        <w:tc>
          <w:tcPr>
            <w:tcW w:type="dxa" w:w="4104"/>
            <w:vAlign w:val="center"/>
            <w:shd w:fill="001030"/>
          </w:tcPr>
          <w:p>
            <w:pPr>
              <w:pStyle w:val="TableBody"/>
            </w:pPr>
            <w:r>
              <w:rPr>
                <w:b/>
                <w:color w:val="FFFFFF"/>
                <w:sz w:val="18"/>
              </w:rPr>
              <w:t>Qué puede avanzar ahora</w:t>
            </w:r>
          </w:p>
        </w:tc>
        <w:tc>
          <w:tcPr>
            <w:tcW w:type="dxa" w:w="3989"/>
            <w:vAlign w:val="center"/>
            <w:shd w:fill="001030"/>
          </w:tcPr>
          <w:p>
            <w:pPr>
              <w:pStyle w:val="TableBody"/>
            </w:pPr>
            <w:r>
              <w:rPr>
                <w:b/>
                <w:color w:val="FFFFFF"/>
                <w:sz w:val="18"/>
              </w:rPr>
              <w:t>Qué no se afirma sin resolverlo</w:t>
            </w:r>
          </w:p>
        </w:tc>
      </w:tr>
      <w:tr>
        <w:trPr>
          <w:cantSplit/>
        </w:trPr>
        <w:tc>
          <w:tcPr>
            <w:tcW w:type="dxa" w:w="2016"/>
            <w:vAlign w:val="center"/>
            <w:shd w:fill="F7F9FD"/>
          </w:tcPr>
          <w:p>
            <w:pPr>
              <w:pStyle w:val="TableBody"/>
            </w:pPr>
            <w:r>
              <w:rPr>
                <w:sz w:val="18"/>
              </w:rPr>
              <w:t>Vector/variantes del logo</w:t>
            </w:r>
          </w:p>
        </w:tc>
        <w:tc>
          <w:tcPr>
            <w:tcW w:type="dxa" w:w="4104"/>
            <w:vAlign w:val="center"/>
            <w:shd w:fill="F7F9FD"/>
          </w:tcPr>
          <w:p>
            <w:pPr>
              <w:pStyle w:val="TableBody"/>
            </w:pPr>
            <w:r>
              <w:rPr>
                <w:sz w:val="18"/>
              </w:rPr>
              <w:t>Integración fiel de raster, recortes de revisión documentados y tokens.</w:t>
            </w:r>
          </w:p>
        </w:tc>
        <w:tc>
          <w:tcPr>
            <w:tcW w:type="dxa" w:w="3989"/>
            <w:vAlign w:val="center"/>
            <w:shd w:fill="F7F9FD"/>
          </w:tcPr>
          <w:p>
            <w:pPr>
              <w:pStyle w:val="TableBody"/>
            </w:pPr>
            <w:r>
              <w:rPr>
                <w:sz w:val="18"/>
              </w:rPr>
              <w:t>Nueva marca blanca, arte vectorial o manual final aprobado.</w:t>
            </w:r>
          </w:p>
        </w:tc>
      </w:tr>
      <w:tr>
        <w:trPr>
          <w:cantSplit/>
        </w:trPr>
        <w:tc>
          <w:tcPr>
            <w:tcW w:type="dxa" w:w="2016"/>
            <w:vAlign w:val="center"/>
            <w:shd w:fill="FFFFFF"/>
          </w:tcPr>
          <w:p>
            <w:pPr>
              <w:pStyle w:val="TableBody"/>
            </w:pPr>
            <w:r>
              <w:rPr>
                <w:sz w:val="18"/>
              </w:rPr>
              <w:t>Tipografía definitiva</w:t>
            </w:r>
          </w:p>
        </w:tc>
        <w:tc>
          <w:tcPr>
            <w:tcW w:type="dxa" w:w="4104"/>
            <w:vAlign w:val="center"/>
            <w:shd w:fill="FFFFFF"/>
          </w:tcPr>
          <w:p>
            <w:pPr>
              <w:pStyle w:val="TableBody"/>
            </w:pPr>
            <w:r>
              <w:rPr>
                <w:sz w:val="18"/>
              </w:rPr>
              <w:t>Jerarquía consistente con fuentes provisionales disponibles.</w:t>
            </w:r>
          </w:p>
        </w:tc>
        <w:tc>
          <w:tcPr>
            <w:tcW w:type="dxa" w:w="3989"/>
            <w:vAlign w:val="center"/>
            <w:shd w:fill="FFFFFF"/>
          </w:tcPr>
          <w:p>
            <w:pPr>
              <w:pStyle w:val="TableBody"/>
            </w:pPr>
            <w:r>
              <w:rPr>
                <w:sz w:val="18"/>
              </w:rPr>
              <w:t>Familia oficial identificada por apariencia.</w:t>
            </w:r>
          </w:p>
        </w:tc>
      </w:tr>
      <w:tr>
        <w:trPr>
          <w:cantSplit/>
        </w:trPr>
        <w:tc>
          <w:tcPr>
            <w:tcW w:type="dxa" w:w="2016"/>
            <w:vAlign w:val="center"/>
            <w:shd w:fill="F7F9FD"/>
          </w:tcPr>
          <w:p>
            <w:pPr>
              <w:pStyle w:val="TableBody"/>
            </w:pPr>
            <w:r>
              <w:rPr>
                <w:sz w:val="18"/>
              </w:rPr>
              <w:t>Fotografía y derechos</w:t>
            </w:r>
          </w:p>
        </w:tc>
        <w:tc>
          <w:tcPr>
            <w:tcW w:type="dxa" w:w="4104"/>
            <w:vAlign w:val="center"/>
            <w:shd w:fill="F7F9FD"/>
          </w:tcPr>
          <w:p>
            <w:pPr>
              <w:pStyle w:val="TableBody"/>
            </w:pPr>
            <w:r>
              <w:rPr>
                <w:sz w:val="18"/>
              </w:rPr>
              <w:t>Maquetación y pruebas con referencias etiquetadas.</w:t>
            </w:r>
          </w:p>
        </w:tc>
        <w:tc>
          <w:tcPr>
            <w:tcW w:type="dxa" w:w="3989"/>
            <w:vAlign w:val="center"/>
            <w:shd w:fill="F7F9FD"/>
          </w:tcPr>
          <w:p>
            <w:pPr>
              <w:pStyle w:val="TableBody"/>
            </w:pPr>
            <w:r>
              <w:rPr>
                <w:sz w:val="18"/>
              </w:rPr>
              <w:t>Propiedad de vehículos, permisos aeroportuarios o licencia de publicación no comprobada.</w:t>
            </w:r>
          </w:p>
        </w:tc>
      </w:tr>
      <w:tr>
        <w:trPr>
          <w:cantSplit/>
        </w:trPr>
        <w:tc>
          <w:tcPr>
            <w:tcW w:type="dxa" w:w="2016"/>
            <w:vAlign w:val="center"/>
            <w:shd w:fill="FFFFFF"/>
          </w:tcPr>
          <w:p>
            <w:pPr>
              <w:pStyle w:val="TableBody"/>
            </w:pPr>
            <w:r>
              <w:rPr>
                <w:sz w:val="18"/>
              </w:rPr>
              <w:t>Servicios/cobertura/capacidad</w:t>
            </w:r>
          </w:p>
        </w:tc>
        <w:tc>
          <w:tcPr>
            <w:tcW w:type="dxa" w:w="4104"/>
            <w:vAlign w:val="center"/>
            <w:shd w:fill="FFFFFF"/>
          </w:tcPr>
          <w:p>
            <w:pPr>
              <w:pStyle w:val="TableBody"/>
            </w:pPr>
            <w:r>
              <w:rPr>
                <w:sz w:val="18"/>
              </w:rPr>
              <w:t>Catálogo configurable y solicitud bajo revisión.</w:t>
            </w:r>
          </w:p>
        </w:tc>
        <w:tc>
          <w:tcPr>
            <w:tcW w:type="dxa" w:w="3989"/>
            <w:vAlign w:val="center"/>
            <w:shd w:fill="FFFFFF"/>
          </w:tcPr>
          <w:p>
            <w:pPr>
              <w:pStyle w:val="TableBody"/>
            </w:pPr>
            <w:r>
              <w:rPr>
                <w:sz w:val="18"/>
              </w:rPr>
              <w:t>Disponibilidad, cobertura global, 24/7 o equipamiento garantizado.</w:t>
            </w:r>
          </w:p>
        </w:tc>
      </w:tr>
      <w:tr>
        <w:trPr>
          <w:cantSplit/>
        </w:trPr>
        <w:tc>
          <w:tcPr>
            <w:tcW w:type="dxa" w:w="2016"/>
            <w:vAlign w:val="center"/>
            <w:shd w:fill="F7F9FD"/>
          </w:tcPr>
          <w:p>
            <w:pPr>
              <w:pStyle w:val="TableBody"/>
            </w:pPr>
            <w:r>
              <w:rPr>
                <w:sz w:val="18"/>
              </w:rPr>
              <w:t>Tarifas, espera y cancelación</w:t>
            </w:r>
          </w:p>
        </w:tc>
        <w:tc>
          <w:tcPr>
            <w:tcW w:type="dxa" w:w="4104"/>
            <w:vAlign w:val="center"/>
            <w:shd w:fill="F7F9FD"/>
          </w:tcPr>
          <w:p>
            <w:pPr>
              <w:pStyle w:val="TableBody"/>
            </w:pPr>
            <w:r>
              <w:rPr>
                <w:sz w:val="18"/>
              </w:rPr>
              <w:t>Contratos, resumen y cotización manual de pruebas.</w:t>
            </w:r>
          </w:p>
        </w:tc>
        <w:tc>
          <w:tcPr>
            <w:tcW w:type="dxa" w:w="3989"/>
            <w:vAlign w:val="center"/>
            <w:shd w:fill="F7F9FD"/>
          </w:tcPr>
          <w:p>
            <w:pPr>
              <w:pStyle w:val="TableBody"/>
            </w:pPr>
            <w:r>
              <w:rPr>
                <w:sz w:val="18"/>
              </w:rPr>
              <w:t>Precios, mínimos, descuentos o penalidades comerciales inventados.</w:t>
            </w:r>
          </w:p>
        </w:tc>
      </w:tr>
      <w:tr>
        <w:trPr>
          <w:cantSplit/>
        </w:trPr>
        <w:tc>
          <w:tcPr>
            <w:tcW w:type="dxa" w:w="2016"/>
            <w:vAlign w:val="center"/>
            <w:shd w:fill="FFFFFF"/>
          </w:tcPr>
          <w:p>
            <w:pPr>
              <w:pStyle w:val="TableBody"/>
            </w:pPr>
            <w:r>
              <w:rPr>
                <w:sz w:val="18"/>
              </w:rPr>
              <w:t>Invitado</w:t>
            </w:r>
          </w:p>
        </w:tc>
        <w:tc>
          <w:tcPr>
            <w:tcW w:type="dxa" w:w="4104"/>
            <w:vAlign w:val="center"/>
            <w:shd w:fill="FFFFFF"/>
          </w:tcPr>
          <w:p>
            <w:pPr>
              <w:pStyle w:val="TableBody"/>
            </w:pPr>
            <w:r>
              <w:rPr>
                <w:sz w:val="18"/>
              </w:rPr>
              <w:t>Borrador antes del acceso y vía autenticada completa.</w:t>
            </w:r>
          </w:p>
        </w:tc>
        <w:tc>
          <w:tcPr>
            <w:tcW w:type="dxa" w:w="3989"/>
            <w:vAlign w:val="center"/>
            <w:shd w:fill="FFFFFF"/>
          </w:tcPr>
          <w:p>
            <w:pPr>
              <w:pStyle w:val="TableBody"/>
            </w:pPr>
            <w:r>
              <w:rPr>
                <w:sz w:val="18"/>
              </w:rPr>
              <w:t>Acceso público al endpoint retirando seguridad.</w:t>
            </w:r>
          </w:p>
        </w:tc>
      </w:tr>
      <w:tr>
        <w:trPr>
          <w:cantSplit/>
        </w:trPr>
        <w:tc>
          <w:tcPr>
            <w:tcW w:type="dxa" w:w="2016"/>
            <w:vAlign w:val="center"/>
            <w:shd w:fill="F7F9FD"/>
          </w:tcPr>
          <w:p>
            <w:pPr>
              <w:pStyle w:val="TableBody"/>
            </w:pPr>
            <w:r>
              <w:rPr>
                <w:sz w:val="18"/>
              </w:rPr>
              <w:t>Correo externo</w:t>
            </w:r>
          </w:p>
        </w:tc>
        <w:tc>
          <w:tcPr>
            <w:tcW w:type="dxa" w:w="4104"/>
            <w:vAlign w:val="center"/>
            <w:shd w:fill="F7F9FD"/>
          </w:tcPr>
          <w:p>
            <w:pPr>
              <w:pStyle w:val="TableBody"/>
            </w:pPr>
            <w:r>
              <w:rPr>
                <w:sz w:val="18"/>
              </w:rPr>
              <w:t>Plantillas y buzón local protegido.</w:t>
            </w:r>
          </w:p>
        </w:tc>
        <w:tc>
          <w:tcPr>
            <w:tcW w:type="dxa" w:w="3989"/>
            <w:vAlign w:val="center"/>
            <w:shd w:fill="F7F9FD"/>
          </w:tcPr>
          <w:p>
            <w:pPr>
              <w:pStyle w:val="TableBody"/>
            </w:pPr>
            <w:r>
              <w:rPr>
                <w:sz w:val="18"/>
              </w:rPr>
              <w:t>Entrega a Internet o verificación de un proveedor no conectado.</w:t>
            </w:r>
          </w:p>
        </w:tc>
      </w:tr>
      <w:tr>
        <w:trPr>
          <w:cantSplit/>
        </w:trPr>
        <w:tc>
          <w:tcPr>
            <w:tcW w:type="dxa" w:w="2016"/>
            <w:vAlign w:val="center"/>
            <w:shd w:fill="FFFFFF"/>
          </w:tcPr>
          <w:p>
            <w:pPr>
              <w:pStyle w:val="TableBody"/>
            </w:pPr>
            <w:r>
              <w:rPr>
                <w:sz w:val="18"/>
              </w:rPr>
              <w:t>CRM/reservas/despacho</w:t>
            </w:r>
          </w:p>
        </w:tc>
        <w:tc>
          <w:tcPr>
            <w:tcW w:type="dxa" w:w="4104"/>
            <w:vAlign w:val="center"/>
            <w:shd w:fill="FFFFFF"/>
          </w:tcPr>
          <w:p>
            <w:pPr>
              <w:pStyle w:val="TableBody"/>
            </w:pPr>
            <w:r>
              <w:rPr>
                <w:sz w:val="18"/>
              </w:rPr>
              <w:t>Límites de adaptadores y recepción mínima propia.</w:t>
            </w:r>
          </w:p>
        </w:tc>
        <w:tc>
          <w:tcPr>
            <w:tcW w:type="dxa" w:w="3989"/>
            <w:vAlign w:val="center"/>
            <w:shd w:fill="FFFFFF"/>
          </w:tcPr>
          <w:p>
            <w:pPr>
              <w:pStyle w:val="TableBody"/>
            </w:pPr>
            <w:r>
              <w:rPr>
                <w:sz w:val="18"/>
              </w:rPr>
              <w:t>Sincronización bidireccional, dispatch o API de Moovs/HubSpot asumidos.</w:t>
            </w:r>
          </w:p>
        </w:tc>
      </w:tr>
      <w:tr>
        <w:trPr>
          <w:cantSplit/>
        </w:trPr>
        <w:tc>
          <w:tcPr>
            <w:tcW w:type="dxa" w:w="2016"/>
            <w:vAlign w:val="center"/>
            <w:shd w:fill="F7F9FD"/>
          </w:tcPr>
          <w:p>
            <w:pPr>
              <w:pStyle w:val="TableBody"/>
            </w:pPr>
            <w:r>
              <w:rPr>
                <w:sz w:val="18"/>
              </w:rPr>
              <w:t>Pagos/facturas</w:t>
            </w:r>
          </w:p>
        </w:tc>
        <w:tc>
          <w:tcPr>
            <w:tcW w:type="dxa" w:w="4104"/>
            <w:vAlign w:val="center"/>
            <w:shd w:fill="F7F9FD"/>
          </w:tcPr>
          <w:p>
            <w:pPr>
              <w:pStyle w:val="TableBody"/>
            </w:pPr>
            <w:r>
              <w:rPr>
                <w:sz w:val="18"/>
              </w:rPr>
              <w:t>Separar entidades y preparar estados cuando haga falta.</w:t>
            </w:r>
          </w:p>
        </w:tc>
        <w:tc>
          <w:tcPr>
            <w:tcW w:type="dxa" w:w="3989"/>
            <w:vAlign w:val="center"/>
            <w:shd w:fill="F7F9FD"/>
          </w:tcPr>
          <w:p>
            <w:pPr>
              <w:pStyle w:val="TableBody"/>
            </w:pPr>
            <w:r>
              <w:rPr>
                <w:sz w:val="18"/>
              </w:rPr>
              <w:t>Cobro, reembolso, tarjeta guardada o factura emitida sin proveedor/reglas.</w:t>
            </w:r>
          </w:p>
        </w:tc>
      </w:tr>
      <w:tr>
        <w:trPr>
          <w:cantSplit/>
        </w:trPr>
        <w:tc>
          <w:tcPr>
            <w:tcW w:type="dxa" w:w="2016"/>
            <w:vAlign w:val="center"/>
            <w:shd w:fill="FFFFFF"/>
          </w:tcPr>
          <w:p>
            <w:pPr>
              <w:pStyle w:val="TableBody"/>
            </w:pPr>
            <w:r>
              <w:rPr>
                <w:sz w:val="18"/>
              </w:rPr>
              <w:t>Roles corporativos finales</w:t>
            </w:r>
          </w:p>
        </w:tc>
        <w:tc>
          <w:tcPr>
            <w:tcW w:type="dxa" w:w="4104"/>
            <w:vAlign w:val="center"/>
            <w:shd w:fill="FFFFFF"/>
          </w:tcPr>
          <w:p>
            <w:pPr>
              <w:pStyle w:val="TableBody"/>
            </w:pPr>
            <w:r>
              <w:rPr>
                <w:sz w:val="18"/>
              </w:rPr>
              <w:t>Política mínima explícita de revisión y tests de aislamiento.</w:t>
            </w:r>
          </w:p>
        </w:tc>
        <w:tc>
          <w:tcPr>
            <w:tcW w:type="dxa" w:w="3989"/>
            <w:vAlign w:val="center"/>
            <w:shd w:fill="FFFFFF"/>
          </w:tcPr>
          <w:p>
            <w:pPr>
              <w:pStyle w:val="TableBody"/>
            </w:pPr>
            <w:r>
              <w:rPr>
                <w:sz w:val="18"/>
              </w:rPr>
              <w:t>Acceso amplio por membresía, crédito o facturación mensual automáticos.</w:t>
            </w:r>
          </w:p>
        </w:tc>
      </w:tr>
      <w:tr>
        <w:trPr>
          <w:cantSplit/>
        </w:trPr>
        <w:tc>
          <w:tcPr>
            <w:tcW w:type="dxa" w:w="2016"/>
            <w:vAlign w:val="center"/>
            <w:shd w:fill="F7F9FD"/>
          </w:tcPr>
          <w:p>
            <w:pPr>
              <w:pStyle w:val="TableBody"/>
            </w:pPr>
            <w:r>
              <w:rPr>
                <w:sz w:val="18"/>
              </w:rPr>
              <w:t>Producción</w:t>
            </w:r>
          </w:p>
        </w:tc>
        <w:tc>
          <w:tcPr>
            <w:tcW w:type="dxa" w:w="4104"/>
            <w:vAlign w:val="center"/>
            <w:shd w:fill="F7F9FD"/>
          </w:tcPr>
          <w:p>
            <w:pPr>
              <w:pStyle w:val="TableBody"/>
            </w:pPr>
            <w:r>
              <w:rPr>
                <w:sz w:val="18"/>
              </w:rPr>
              <w:t>Build, entorno aislado, documentación y revisión.</w:t>
            </w:r>
          </w:p>
        </w:tc>
        <w:tc>
          <w:tcPr>
            <w:tcW w:type="dxa" w:w="3989"/>
            <w:vAlign w:val="center"/>
            <w:shd w:fill="F7F9FD"/>
          </w:tcPr>
          <w:p>
            <w:pPr>
              <w:pStyle w:val="TableBody"/>
            </w:pPr>
            <w:r>
              <w:rPr>
                <w:sz w:val="18"/>
              </w:rPr>
              <w:t>Lanzamiento comercial, seguridad certificada o autorización de despliegue.</w:t>
            </w:r>
          </w:p>
        </w:tc>
      </w:tr>
    </w:tbl>
    <w:p>
      <w:pPr>
        <w:spacing w:after="40"/>
      </w:pPr>
    </w:p>
    <w:p>
      <w:r>
        <w:t>Pregunta únicamente por lo que afecte la siguiente decisión no reversible o una promesa comercial. No vuelvas a pedir la paleta, el descriptor o el nombre ya confirmados. Si el usuario no ha elegido un proveedor, termina la solicitud asistida y documenta esa frontera.</w:t>
      </w:r>
    </w:p>
    <w:p>
      <w:pPr>
        <w:pStyle w:val="Heading1"/>
      </w:pPr>
      <w:r>
        <w:t>35. Trazabilidad y referencias técnicas</w:t>
      </w:r>
    </w:p>
    <w:p>
      <w:pPr>
        <w:pStyle w:val="Heading2"/>
      </w:pPr>
      <w:r>
        <w:t>35.1 Correspondencia con los documentos de origen</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3053"/>
        <w:gridCol w:w="7056"/>
      </w:tblGrid>
      <w:tr>
        <w:trPr>
          <w:cantSplit/>
          <w:tblHeader/>
        </w:trPr>
        <w:tc>
          <w:tcPr>
            <w:tcW w:type="dxa" w:w="3053"/>
            <w:vAlign w:val="center"/>
            <w:shd w:fill="001030"/>
          </w:tcPr>
          <w:p>
            <w:pPr>
              <w:pStyle w:val="TableBody"/>
            </w:pPr>
            <w:r>
              <w:rPr>
                <w:b/>
                <w:color w:val="FFFFFF"/>
                <w:sz w:val="18"/>
              </w:rPr>
              <w:t>Tema del maestro</w:t>
            </w:r>
          </w:p>
        </w:tc>
        <w:tc>
          <w:tcPr>
            <w:tcW w:type="dxa" w:w="7056"/>
            <w:vAlign w:val="center"/>
            <w:shd w:fill="001030"/>
          </w:tcPr>
          <w:p>
            <w:pPr>
              <w:pStyle w:val="TableBody"/>
            </w:pPr>
            <w:r>
              <w:rPr>
                <w:b/>
                <w:color w:val="FFFFFF"/>
                <w:sz w:val="18"/>
              </w:rPr>
              <w:t>Fuente principal</w:t>
            </w:r>
          </w:p>
        </w:tc>
      </w:tr>
      <w:tr>
        <w:trPr>
          <w:cantSplit/>
        </w:trPr>
        <w:tc>
          <w:tcPr>
            <w:tcW w:type="dxa" w:w="3053"/>
            <w:vAlign w:val="center"/>
            <w:shd w:fill="F7F9FD"/>
          </w:tcPr>
          <w:p>
            <w:pPr>
              <w:pStyle w:val="TableBody"/>
            </w:pPr>
            <w:r>
              <w:rPr>
                <w:sz w:val="18"/>
              </w:rPr>
              <w:t>Identidad, fidelidad y autoridad</w:t>
            </w:r>
          </w:p>
        </w:tc>
        <w:tc>
          <w:tcPr>
            <w:tcW w:type="dxa" w:w="7056"/>
            <w:vAlign w:val="center"/>
            <w:shd w:fill="F7F9FD"/>
          </w:tcPr>
          <w:p>
            <w:pPr>
              <w:pStyle w:val="TableBody"/>
            </w:pPr>
            <w:r>
              <w:rPr>
                <w:sz w:val="18"/>
              </w:rPr>
              <w:t>D01 §§01–09 y §12; D04 §§12–16.</w:t>
            </w:r>
          </w:p>
        </w:tc>
      </w:tr>
      <w:tr>
        <w:trPr>
          <w:cantSplit/>
        </w:trPr>
        <w:tc>
          <w:tcPr>
            <w:tcW w:type="dxa" w:w="3053"/>
            <w:vAlign w:val="center"/>
            <w:shd w:fill="FFFFFF"/>
          </w:tcPr>
          <w:p>
            <w:pPr>
              <w:pStyle w:val="TableBody"/>
            </w:pPr>
            <w:r>
              <w:rPr>
                <w:sz w:val="18"/>
              </w:rPr>
              <w:t>Mandato y correcciones de hipótesis</w:t>
            </w:r>
          </w:p>
        </w:tc>
        <w:tc>
          <w:tcPr>
            <w:tcW w:type="dxa" w:w="7056"/>
            <w:vAlign w:val="center"/>
            <w:shd w:fill="FFFFFF"/>
          </w:tcPr>
          <w:p>
            <w:pPr>
              <w:pStyle w:val="TableBody"/>
            </w:pPr>
            <w:r>
              <w:rPr>
                <w:sz w:val="18"/>
              </w:rPr>
              <w:t>D02 parte I §§04–08.</w:t>
            </w:r>
          </w:p>
        </w:tc>
      </w:tr>
      <w:tr>
        <w:trPr>
          <w:cantSplit/>
        </w:trPr>
        <w:tc>
          <w:tcPr>
            <w:tcW w:type="dxa" w:w="3053"/>
            <w:vAlign w:val="center"/>
            <w:shd w:fill="F7F9FD"/>
          </w:tcPr>
          <w:p>
            <w:pPr>
              <w:pStyle w:val="TableBody"/>
            </w:pPr>
            <w:r>
              <w:rPr>
                <w:sz w:val="18"/>
              </w:rPr>
              <w:t>Blacklane y sus tres capturas</w:t>
            </w:r>
          </w:p>
        </w:tc>
        <w:tc>
          <w:tcPr>
            <w:tcW w:type="dxa" w:w="7056"/>
            <w:vAlign w:val="center"/>
            <w:shd w:fill="F7F9FD"/>
          </w:tcPr>
          <w:p>
            <w:pPr>
              <w:pStyle w:val="TableBody"/>
            </w:pPr>
            <w:r>
              <w:rPr>
                <w:sz w:val="18"/>
              </w:rPr>
              <w:t>D02 parte II V2–V4, páginas 11–13.</w:t>
            </w:r>
          </w:p>
        </w:tc>
      </w:tr>
      <w:tr>
        <w:trPr>
          <w:cantSplit/>
        </w:trPr>
        <w:tc>
          <w:tcPr>
            <w:tcW w:type="dxa" w:w="3053"/>
            <w:vAlign w:val="center"/>
            <w:shd w:fill="FFFFFF"/>
          </w:tcPr>
          <w:p>
            <w:pPr>
              <w:pStyle w:val="TableBody"/>
            </w:pPr>
            <w:r>
              <w:rPr>
                <w:sz w:val="18"/>
              </w:rPr>
              <w:t>Arquitectura y ocho rutas originales</w:t>
            </w:r>
          </w:p>
        </w:tc>
        <w:tc>
          <w:tcPr>
            <w:tcW w:type="dxa" w:w="7056"/>
            <w:vAlign w:val="center"/>
            <w:shd w:fill="FFFFFF"/>
          </w:tcPr>
          <w:p>
            <w:pPr>
              <w:pStyle w:val="TableBody"/>
            </w:pPr>
            <w:r>
              <w:rPr>
                <w:sz w:val="18"/>
              </w:rPr>
              <w:t>D02 parte III §§01–04, corte f4f8b48d.</w:t>
            </w:r>
          </w:p>
        </w:tc>
      </w:tr>
      <w:tr>
        <w:trPr>
          <w:cantSplit/>
        </w:trPr>
        <w:tc>
          <w:tcPr>
            <w:tcW w:type="dxa" w:w="3053"/>
            <w:vAlign w:val="center"/>
            <w:shd w:fill="F7F9FD"/>
          </w:tcPr>
          <w:p>
            <w:pPr>
              <w:pStyle w:val="TableBody"/>
            </w:pPr>
            <w:r>
              <w:rPr>
                <w:sz w:val="18"/>
              </w:rPr>
              <w:t>Home, navbar y movimiento</w:t>
            </w:r>
          </w:p>
        </w:tc>
        <w:tc>
          <w:tcPr>
            <w:tcW w:type="dxa" w:w="7056"/>
            <w:vAlign w:val="center"/>
            <w:shd w:fill="F7F9FD"/>
          </w:tcPr>
          <w:p>
            <w:pPr>
              <w:pStyle w:val="TableBody"/>
            </w:pPr>
            <w:r>
              <w:rPr>
                <w:sz w:val="18"/>
              </w:rPr>
              <w:t>D02 parte III §§05–08; C01/C03 para referencia posterior.</w:t>
            </w:r>
          </w:p>
        </w:tc>
      </w:tr>
      <w:tr>
        <w:trPr>
          <w:cantSplit/>
        </w:trPr>
        <w:tc>
          <w:tcPr>
            <w:tcW w:type="dxa" w:w="3053"/>
            <w:vAlign w:val="center"/>
            <w:shd w:fill="FFFFFF"/>
          </w:tcPr>
          <w:p>
            <w:pPr>
              <w:pStyle w:val="TableBody"/>
            </w:pPr>
            <w:r>
              <w:rPr>
                <w:sz w:val="18"/>
              </w:rPr>
              <w:t>Datos fijos, pérdida de borrador, idempotencia</w:t>
            </w:r>
          </w:p>
        </w:tc>
        <w:tc>
          <w:tcPr>
            <w:tcW w:type="dxa" w:w="7056"/>
            <w:vAlign w:val="center"/>
            <w:shd w:fill="FFFFFF"/>
          </w:tcPr>
          <w:p>
            <w:pPr>
              <w:pStyle w:val="TableBody"/>
            </w:pPr>
            <w:r>
              <w:rPr>
                <w:sz w:val="18"/>
              </w:rPr>
              <w:t>D02 parte III §§09–10.</w:t>
            </w:r>
          </w:p>
        </w:tc>
      </w:tr>
      <w:tr>
        <w:trPr>
          <w:cantSplit/>
        </w:trPr>
        <w:tc>
          <w:tcPr>
            <w:tcW w:type="dxa" w:w="3053"/>
            <w:vAlign w:val="center"/>
            <w:shd w:fill="F7F9FD"/>
          </w:tcPr>
          <w:p>
            <w:pPr>
              <w:pStyle w:val="TableBody"/>
            </w:pPr>
            <w:r>
              <w:rPr>
                <w:sz w:val="18"/>
              </w:rPr>
              <w:t>Cuenta, permisos y operación</w:t>
            </w:r>
          </w:p>
        </w:tc>
        <w:tc>
          <w:tcPr>
            <w:tcW w:type="dxa" w:w="7056"/>
            <w:vAlign w:val="center"/>
            <w:shd w:fill="F7F9FD"/>
          </w:tcPr>
          <w:p>
            <w:pPr>
              <w:pStyle w:val="TableBody"/>
            </w:pPr>
            <w:r>
              <w:rPr>
                <w:sz w:val="18"/>
              </w:rPr>
              <w:t>D02 parte III §§11–13; candidatos C02/C03 no verificados en runtime original.</w:t>
            </w:r>
          </w:p>
        </w:tc>
      </w:tr>
      <w:tr>
        <w:trPr>
          <w:cantSplit/>
        </w:trPr>
        <w:tc>
          <w:tcPr>
            <w:tcW w:type="dxa" w:w="3053"/>
            <w:vAlign w:val="center"/>
            <w:shd w:fill="FFFFFF"/>
          </w:tcPr>
          <w:p>
            <w:pPr>
              <w:pStyle w:val="TableBody"/>
            </w:pPr>
            <w:r>
              <w:rPr>
                <w:sz w:val="18"/>
              </w:rPr>
              <w:t>Formularios, lugares, hora y proveedores</w:t>
            </w:r>
          </w:p>
        </w:tc>
        <w:tc>
          <w:tcPr>
            <w:tcW w:type="dxa" w:w="7056"/>
            <w:vAlign w:val="center"/>
            <w:shd w:fill="FFFFFF"/>
          </w:tcPr>
          <w:p>
            <w:pPr>
              <w:pStyle w:val="TableBody"/>
            </w:pPr>
            <w:r>
              <w:rPr>
                <w:sz w:val="18"/>
              </w:rPr>
              <w:t>D03 §§15–24, subordinados a decisiones posteriores.</w:t>
            </w:r>
          </w:p>
        </w:tc>
      </w:tr>
      <w:tr>
        <w:trPr>
          <w:cantSplit/>
        </w:trPr>
        <w:tc>
          <w:tcPr>
            <w:tcW w:type="dxa" w:w="3053"/>
            <w:vAlign w:val="center"/>
            <w:shd w:fill="F7F9FD"/>
          </w:tcPr>
          <w:p>
            <w:pPr>
              <w:pStyle w:val="TableBody"/>
            </w:pPr>
            <w:r>
              <w:rPr>
                <w:sz w:val="18"/>
              </w:rPr>
              <w:t>Accesibilidad, SEO y pruebas</w:t>
            </w:r>
          </w:p>
        </w:tc>
        <w:tc>
          <w:tcPr>
            <w:tcW w:type="dxa" w:w="7056"/>
            <w:vAlign w:val="center"/>
            <w:shd w:fill="F7F9FD"/>
          </w:tcPr>
          <w:p>
            <w:pPr>
              <w:pStyle w:val="TableBody"/>
            </w:pPr>
            <w:r>
              <w:rPr>
                <w:sz w:val="18"/>
              </w:rPr>
              <w:t>D01 §06; D02 parte III §§14–16; D03 §§26–28.</w:t>
            </w:r>
          </w:p>
        </w:tc>
      </w:tr>
      <w:tr>
        <w:trPr>
          <w:cantSplit/>
        </w:trPr>
        <w:tc>
          <w:tcPr>
            <w:tcW w:type="dxa" w:w="3053"/>
            <w:vAlign w:val="center"/>
            <w:shd w:fill="FFFFFF"/>
          </w:tcPr>
          <w:p>
            <w:pPr>
              <w:pStyle w:val="TableBody"/>
            </w:pPr>
            <w:r>
              <w:rPr>
                <w:sz w:val="18"/>
              </w:rPr>
              <w:t>Matriz de cambios, lotes y cierre</w:t>
            </w:r>
          </w:p>
        </w:tc>
        <w:tc>
          <w:tcPr>
            <w:tcW w:type="dxa" w:w="7056"/>
            <w:vAlign w:val="center"/>
            <w:shd w:fill="FFFFFF"/>
          </w:tcPr>
          <w:p>
            <w:pPr>
              <w:pStyle w:val="TableBody"/>
            </w:pPr>
            <w:r>
              <w:rPr>
                <w:sz w:val="18"/>
              </w:rPr>
              <w:t>D02 parte III §§17–19 y parte V.</w:t>
            </w:r>
          </w:p>
        </w:tc>
      </w:tr>
      <w:tr>
        <w:trPr>
          <w:cantSplit/>
        </w:trPr>
        <w:tc>
          <w:tcPr>
            <w:tcW w:type="dxa" w:w="3053"/>
            <w:vAlign w:val="center"/>
            <w:shd w:fill="F7F9FD"/>
          </w:tcPr>
          <w:p>
            <w:pPr>
              <w:pStyle w:val="TableBody"/>
            </w:pPr>
            <w:r>
              <w:rPr>
                <w:sz w:val="18"/>
              </w:rPr>
              <w:t>Integración nativa posterior</w:t>
            </w:r>
          </w:p>
        </w:tc>
        <w:tc>
          <w:tcPr>
            <w:tcW w:type="dxa" w:w="7056"/>
            <w:vAlign w:val="center"/>
            <w:shd w:fill="F7F9FD"/>
          </w:tcPr>
          <w:p>
            <w:pPr>
              <w:pStyle w:val="TableBody"/>
            </w:pPr>
            <w:r>
              <w:rPr>
                <w:sz w:val="18"/>
              </w:rPr>
              <w:t>C02/C04; mantener la corrección que preserva v1.</w:t>
            </w:r>
          </w:p>
        </w:tc>
      </w:tr>
    </w:tbl>
    <w:p>
      <w:pPr>
        <w:spacing w:after="40"/>
      </w:pPr>
    </w:p>
    <w:p>
      <w:r>
        <w:t>Los chats «Análisis profundo de maqueta» y «Proyecto Ascenta Professional» están representados por sus documentos maestros y decisiones recuperables. No se afirma que se haya obtenido una transcripción literal íntegra de ambos chats. La conversación actual aporta la intención explícita de adaptar el diseño a la maqueta original y preparar este encargo completo.</w:t>
      </w:r>
    </w:p>
    <w:p>
      <w:r>
        <w:t xml:space="preserve">La lectura actual incluyó los dos maestros adjuntos, sus imágenes, los antecedentes D03/D04 recuperados, el Site local, componentes/estilos candidatos y el resultado de adaptación. La comprobación GitHub actual se limitó a referencias de ramas; no fue una nueva ejecución completa del repositorio. Las imágenes y fuentes locales quedan inventariadas en </w:t>
      </w:r>
      <w:r>
        <w:rPr>
          <w:rFonts w:ascii="Liberation Mono" w:hAnsi="Liberation Mono"/>
          <w:color w:val="001030"/>
          <w:sz w:val="18"/>
        </w:rPr>
        <w:t>05_CONTROL/MANIFIESTO_SHA256.json</w:t>
      </w:r>
      <w:r>
        <w:t>.</w:t>
      </w:r>
    </w:p>
    <w:p>
      <w:pPr>
        <w:pStyle w:val="Heading2"/>
      </w:pPr>
      <w:r>
        <w:t>35.2 Fuentes públicas técnicas consultadas para este guion</w:t>
      </w:r>
    </w:p>
    <w:p>
      <w:r>
        <w:t>Estas referencias ayudan a estructurar el trabajo y controles; no sustituyen las decisiones comerciales del proyecto. Consultadas el 5 de octubre de 2026. No se realizó aquí una nueva auditoría de Blacklane.</w:t>
      </w:r>
    </w:p>
    <w:tbl>
      <w:tblPr>
        <w:tblW w:type="auto" w:w="0"/>
        <w:jc w:val="center"/>
        <w:tblLayout w:type="fixed"/>
        <w:tblLook w:firstColumn="1" w:firstRow="1" w:lastColumn="0" w:lastRow="0" w:noHBand="0" w:noVBand="1" w:val="04A0"/>
        <w:tblCellMar>
          <w:top w:w="70" w:type="dxa"/>
          <w:left w:w="85" w:type="dxa"/>
          <w:bottom w:w="70" w:type="dxa"/>
          <w:right w:w="85" w:type="dxa"/>
        </w:tblCellMar>
        <w:tblBorders>
          <w:top w:val="nil" w:sz="3" w:color="DCE5F0"/>
          <w:left w:val="nil" w:sz="3" w:color="DCE5F0"/>
          <w:bottom w:val="nil" w:sz="3" w:color="DCE5F0"/>
          <w:right w:val="nil" w:sz="3" w:color="DCE5F0"/>
          <w:insideH w:val="single" w:sz="3" w:color="DCE5F0"/>
          <w:insideV w:val="nil" w:sz="3" w:color="DCE5F0"/>
        </w:tblBorders>
      </w:tblPr>
      <w:tblGrid>
        <w:gridCol w:w="720"/>
        <w:gridCol w:w="5256"/>
        <w:gridCol w:w="4133"/>
      </w:tblGrid>
      <w:tr>
        <w:trPr>
          <w:cantSplit/>
          <w:tblHeader/>
        </w:trPr>
        <w:tc>
          <w:tcPr>
            <w:tcW w:type="dxa" w:w="720"/>
            <w:vAlign w:val="center"/>
            <w:shd w:fill="001030"/>
          </w:tcPr>
          <w:p>
            <w:pPr>
              <w:pStyle w:val="TableBody"/>
            </w:pPr>
            <w:r>
              <w:rPr>
                <w:b/>
                <w:color w:val="FFFFFF"/>
                <w:sz w:val="18"/>
              </w:rPr>
              <w:t>ID</w:t>
            </w:r>
          </w:p>
        </w:tc>
        <w:tc>
          <w:tcPr>
            <w:tcW w:type="dxa" w:w="5256"/>
            <w:vAlign w:val="center"/>
            <w:shd w:fill="001030"/>
          </w:tcPr>
          <w:p>
            <w:pPr>
              <w:pStyle w:val="TableBody"/>
            </w:pPr>
            <w:r>
              <w:rPr>
                <w:b/>
                <w:color w:val="FFFFFF"/>
                <w:sz w:val="18"/>
              </w:rPr>
              <w:t>Referencia oficial</w:t>
            </w:r>
          </w:p>
        </w:tc>
        <w:tc>
          <w:tcPr>
            <w:tcW w:type="dxa" w:w="4133"/>
            <w:vAlign w:val="center"/>
            <w:shd w:fill="001030"/>
          </w:tcPr>
          <w:p>
            <w:pPr>
              <w:pStyle w:val="TableBody"/>
            </w:pPr>
            <w:r>
              <w:rPr>
                <w:b/>
                <w:color w:val="FFFFFF"/>
                <w:sz w:val="18"/>
              </w:rPr>
              <w:t>Uso acotado</w:t>
            </w:r>
          </w:p>
        </w:tc>
      </w:tr>
      <w:tr>
        <w:trPr>
          <w:cantSplit/>
        </w:trPr>
        <w:tc>
          <w:tcPr>
            <w:tcW w:type="dxa" w:w="720"/>
            <w:vAlign w:val="center"/>
            <w:shd w:fill="F7F9FD"/>
          </w:tcPr>
          <w:p>
            <w:pPr>
              <w:pStyle w:val="TableBody"/>
            </w:pPr>
            <w:r>
              <w:rPr>
                <w:sz w:val="18"/>
              </w:rPr>
              <w:t>T01</w:t>
            </w:r>
          </w:p>
        </w:tc>
        <w:tc>
          <w:tcPr>
            <w:tcW w:type="dxa" w:w="5256"/>
            <w:vAlign w:val="center"/>
            <w:shd w:fill="F7F9FD"/>
          </w:tcPr>
          <w:p>
            <w:pPr>
              <w:pStyle w:val="TableBody"/>
            </w:pPr>
            <w:r>
              <w:rPr>
                <w:sz w:val="18"/>
              </w:rPr>
              <w:t xml:space="preserve">OpenAI, Custom instructions with AGENTS.md: </w:t>
            </w:r>
            <w:r>
              <w:rPr>
                <w:rFonts w:ascii="Liberation Mono" w:hAnsi="Liberation Mono"/>
                <w:color w:val="001030"/>
                <w:sz w:val="18"/>
              </w:rPr>
              <w:t>https://developers.openai.com/codex/guides/agents-md</w:t>
            </w:r>
          </w:p>
        </w:tc>
        <w:tc>
          <w:tcPr>
            <w:tcW w:type="dxa" w:w="4133"/>
            <w:vAlign w:val="center"/>
            <w:shd w:fill="F7F9FD"/>
          </w:tcPr>
          <w:p>
            <w:pPr>
              <w:pStyle w:val="TableBody"/>
            </w:pPr>
            <w:r>
              <w:rPr>
                <w:sz w:val="18"/>
              </w:rPr>
              <w:t>Instrucciones breves, precedencia y carga; no meter todo el maestro en AGENTS.</w:t>
            </w:r>
          </w:p>
        </w:tc>
      </w:tr>
      <w:tr>
        <w:trPr>
          <w:cantSplit/>
        </w:trPr>
        <w:tc>
          <w:tcPr>
            <w:tcW w:type="dxa" w:w="720"/>
            <w:vAlign w:val="center"/>
            <w:shd w:fill="FFFFFF"/>
          </w:tcPr>
          <w:p>
            <w:pPr>
              <w:pStyle w:val="TableBody"/>
            </w:pPr>
            <w:r>
              <w:rPr>
                <w:sz w:val="18"/>
              </w:rPr>
              <w:t>T02</w:t>
            </w:r>
          </w:p>
        </w:tc>
        <w:tc>
          <w:tcPr>
            <w:tcW w:type="dxa" w:w="5256"/>
            <w:vAlign w:val="center"/>
            <w:shd w:fill="FFFFFF"/>
          </w:tcPr>
          <w:p>
            <w:pPr>
              <w:pStyle w:val="TableBody"/>
            </w:pPr>
            <w:r>
              <w:rPr>
                <w:sz w:val="18"/>
              </w:rPr>
              <w:t xml:space="preserve">Git, git-worktree: </w:t>
            </w:r>
            <w:r>
              <w:rPr>
                <w:rFonts w:ascii="Liberation Mono" w:hAnsi="Liberation Mono"/>
                <w:color w:val="001030"/>
                <w:sz w:val="18"/>
              </w:rPr>
              <w:t>https://git-scm.com/docs/git-worktree</w:t>
            </w:r>
          </w:p>
        </w:tc>
        <w:tc>
          <w:tcPr>
            <w:tcW w:type="dxa" w:w="4133"/>
            <w:vAlign w:val="center"/>
            <w:shd w:fill="FFFFFF"/>
          </w:tcPr>
          <w:p>
            <w:pPr>
              <w:pStyle w:val="TableBody"/>
            </w:pPr>
            <w:r>
              <w:rPr>
                <w:sz w:val="18"/>
              </w:rPr>
              <w:t>Trabajo separado sobre el mismo repositorio y protección del árbol actual.</w:t>
            </w:r>
          </w:p>
        </w:tc>
      </w:tr>
      <w:tr>
        <w:trPr>
          <w:cantSplit/>
        </w:trPr>
        <w:tc>
          <w:tcPr>
            <w:tcW w:type="dxa" w:w="720"/>
            <w:vAlign w:val="center"/>
            <w:shd w:fill="F7F9FD"/>
          </w:tcPr>
          <w:p>
            <w:pPr>
              <w:pStyle w:val="TableBody"/>
            </w:pPr>
            <w:r>
              <w:rPr>
                <w:sz w:val="18"/>
              </w:rPr>
              <w:t>T03</w:t>
            </w:r>
          </w:p>
        </w:tc>
        <w:tc>
          <w:tcPr>
            <w:tcW w:type="dxa" w:w="5256"/>
            <w:vAlign w:val="center"/>
            <w:shd w:fill="F7F9FD"/>
          </w:tcPr>
          <w:p>
            <w:pPr>
              <w:pStyle w:val="TableBody"/>
            </w:pPr>
            <w:r>
              <w:rPr>
                <w:sz w:val="18"/>
              </w:rPr>
              <w:t xml:space="preserve">OWASP Authentication Cheat Sheet: </w:t>
            </w:r>
            <w:r>
              <w:rPr>
                <w:rFonts w:ascii="Liberation Mono" w:hAnsi="Liberation Mono"/>
                <w:color w:val="001030"/>
                <w:sz w:val="18"/>
              </w:rPr>
              <w:t>https://cheatsheetseries.owasp.org/cheatsheets/Authentication_Cheat_Sheet.html</w:t>
            </w:r>
          </w:p>
        </w:tc>
        <w:tc>
          <w:tcPr>
            <w:tcW w:type="dxa" w:w="4133"/>
            <w:vAlign w:val="center"/>
            <w:shd w:fill="F7F9FD"/>
          </w:tcPr>
          <w:p>
            <w:pPr>
              <w:pStyle w:val="TableBody"/>
            </w:pPr>
            <w:r>
              <w:rPr>
                <w:sz w:val="18"/>
              </w:rPr>
              <w:t>Contrastar política de acceso, protección de sesión y controles de autenticación.</w:t>
            </w:r>
          </w:p>
        </w:tc>
      </w:tr>
      <w:tr>
        <w:trPr>
          <w:cantSplit/>
        </w:trPr>
        <w:tc>
          <w:tcPr>
            <w:tcW w:type="dxa" w:w="720"/>
            <w:vAlign w:val="center"/>
            <w:shd w:fill="FFFFFF"/>
          </w:tcPr>
          <w:p>
            <w:pPr>
              <w:pStyle w:val="TableBody"/>
            </w:pPr>
            <w:r>
              <w:rPr>
                <w:sz w:val="18"/>
              </w:rPr>
              <w:t>T04</w:t>
            </w:r>
          </w:p>
        </w:tc>
        <w:tc>
          <w:tcPr>
            <w:tcW w:type="dxa" w:w="5256"/>
            <w:vAlign w:val="center"/>
            <w:shd w:fill="FFFFFF"/>
          </w:tcPr>
          <w:p>
            <w:pPr>
              <w:pStyle w:val="TableBody"/>
            </w:pPr>
            <w:r>
              <w:rPr>
                <w:sz w:val="18"/>
              </w:rPr>
              <w:t xml:space="preserve">OWASP Forgot Password Cheat Sheet: </w:t>
            </w:r>
            <w:r>
              <w:rPr>
                <w:rFonts w:ascii="Liberation Mono" w:hAnsi="Liberation Mono"/>
                <w:color w:val="001030"/>
                <w:sz w:val="18"/>
              </w:rPr>
              <w:t>https://cheatsheetseries.owasp.org/cheatsheets/Forgot_Password_Cheat_Sheet.html</w:t>
            </w:r>
          </w:p>
        </w:tc>
        <w:tc>
          <w:tcPr>
            <w:tcW w:type="dxa" w:w="4133"/>
            <w:vAlign w:val="center"/>
            <w:shd w:fill="FFFFFF"/>
          </w:tcPr>
          <w:p>
            <w:pPr>
              <w:pStyle w:val="TableBody"/>
            </w:pPr>
            <w:r>
              <w:rPr>
                <w:sz w:val="18"/>
              </w:rPr>
              <w:t>Comprobantes de recuperación, caducidad, uso único y respuestas seguras.</w:t>
            </w:r>
          </w:p>
        </w:tc>
      </w:tr>
      <w:tr>
        <w:trPr>
          <w:cantSplit/>
        </w:trPr>
        <w:tc>
          <w:tcPr>
            <w:tcW w:type="dxa" w:w="720"/>
            <w:vAlign w:val="center"/>
            <w:shd w:fill="F7F9FD"/>
          </w:tcPr>
          <w:p>
            <w:pPr>
              <w:pStyle w:val="TableBody"/>
            </w:pPr>
            <w:r>
              <w:rPr>
                <w:sz w:val="18"/>
              </w:rPr>
              <w:t>T05</w:t>
            </w:r>
          </w:p>
        </w:tc>
        <w:tc>
          <w:tcPr>
            <w:tcW w:type="dxa" w:w="5256"/>
            <w:vAlign w:val="center"/>
            <w:shd w:fill="F7F9FD"/>
          </w:tcPr>
          <w:p>
            <w:pPr>
              <w:pStyle w:val="TableBody"/>
            </w:pPr>
            <w:r>
              <w:rPr>
                <w:sz w:val="18"/>
              </w:rPr>
              <w:t xml:space="preserve">W3C/WAI, Contrast Minimum: </w:t>
            </w:r>
            <w:r>
              <w:rPr>
                <w:rFonts w:ascii="Liberation Mono" w:hAnsi="Liberation Mono"/>
                <w:color w:val="001030"/>
                <w:sz w:val="18"/>
              </w:rPr>
              <w:t>https://www.w3.org/WAI/WCAG22/Understanding/contrast-minimum.html</w:t>
            </w:r>
          </w:p>
        </w:tc>
        <w:tc>
          <w:tcPr>
            <w:tcW w:type="dxa" w:w="4133"/>
            <w:vAlign w:val="center"/>
            <w:shd w:fill="F7F9FD"/>
          </w:tcPr>
          <w:p>
            <w:pPr>
              <w:pStyle w:val="TableBody"/>
            </w:pPr>
            <w:r>
              <w:rPr>
                <w:sz w:val="18"/>
              </w:rPr>
              <w:t>Referencia de contraste y excepción específica de logotipo.</w:t>
            </w:r>
          </w:p>
        </w:tc>
      </w:tr>
      <w:tr>
        <w:trPr>
          <w:cantSplit/>
        </w:trPr>
        <w:tc>
          <w:tcPr>
            <w:tcW w:type="dxa" w:w="720"/>
            <w:vAlign w:val="center"/>
            <w:shd w:fill="FFFFFF"/>
          </w:tcPr>
          <w:p>
            <w:pPr>
              <w:pStyle w:val="TableBody"/>
            </w:pPr>
            <w:r>
              <w:rPr>
                <w:sz w:val="18"/>
              </w:rPr>
              <w:t>T06</w:t>
            </w:r>
          </w:p>
        </w:tc>
        <w:tc>
          <w:tcPr>
            <w:tcW w:type="dxa" w:w="5256"/>
            <w:vAlign w:val="center"/>
            <w:shd w:fill="FFFFFF"/>
          </w:tcPr>
          <w:p>
            <w:pPr>
              <w:pStyle w:val="TableBody"/>
            </w:pPr>
            <w:r>
              <w:rPr>
                <w:sz w:val="18"/>
              </w:rPr>
              <w:t xml:space="preserve">OpenAI, Prompting: </w:t>
            </w:r>
            <w:r>
              <w:rPr>
                <w:rFonts w:ascii="Liberation Mono" w:hAnsi="Liberation Mono"/>
                <w:color w:val="001030"/>
                <w:sz w:val="18"/>
              </w:rPr>
              <w:t>https://developers.openai.com/codex/prompting/</w:t>
            </w:r>
          </w:p>
        </w:tc>
        <w:tc>
          <w:tcPr>
            <w:tcW w:type="dxa" w:w="4133"/>
            <w:vAlign w:val="center"/>
            <w:shd w:fill="FFFFFF"/>
          </w:tcPr>
          <w:p>
            <w:pPr>
              <w:pStyle w:val="TableBody"/>
            </w:pPr>
            <w:r>
              <w:rPr>
                <w:sz w:val="18"/>
              </w:rPr>
              <w:t>Contexto de archivos/imágenes y verificación del resultado, sin reemplazar la estructura del repo.</w:t>
            </w:r>
          </w:p>
        </w:tc>
      </w:tr>
    </w:tbl>
    <w:p>
      <w:pPr>
        <w:spacing w:after="40"/>
      </w:pPr>
    </w:p>
    <w:p>
      <w:r>
        <w:t>Consulta la documentación oficial de las versiones realmente instaladas cuando un cambio la requiera. No extrapoles instrucciones de Next estándar como prueba de compatibilidad con Vinext. No actualices dependencias automáticamente solo porque una página pública describe otra versión.</w:t>
      </w:r>
    </w:p>
    <w:p>
      <w:pPr>
        <w:pStyle w:val="Heading1"/>
      </w:pPr>
      <w:r>
        <w:t>36. Instrucción de cierre al agente</w:t>
      </w:r>
    </w:p>
    <w:p>
      <w:r>
        <w:t>Lee las fuentes, reconoce la base real y ejecuta. Conserva la ingeniería útil, transforma la identidad provisional, integra todos los diseños aplicables y conecta los recorridos definidos. Trabaja por lotes, comprueba el resultado en la aplicación original y entrega evidencia del código y del servidor, no otro sustituto visual.</w:t>
      </w:r>
    </w:p>
    <w:p>
      <w:r>
        <w:t>La calidad de ASCENTA debe estar tanto en su portada como en los datos que conserva, el estado que comunica y el viaje que operaciones recibe. Un diseño atractivo no compensa una solicitud perdida; una API correcta no compensa una interfaz que contradice la marca. Ambos resultados forman parte del encargo.</w:t>
      </w:r>
    </w:p>
    <w:p>
      <w:r>
        <w:rPr>
          <w:b/>
        </w:rPr>
        <w:t>Fin del script maestro.</w:t>
      </w:r>
    </w:p>
    <w:sectPr w:rsidR="00FC693F" w:rsidRPr="0006063C" w:rsidSect="00034616">
      <w:headerReference w:type="default" r:id="rId9"/>
      <w:footerReference w:type="default" r:id="rId10"/>
      <w:footerReference w:type="first" r:id="rId11"/>
      <w:pgSz w:w="12240" w:h="15840"/>
      <w:pgMar w:top="1051" w:right="1066" w:bottom="979" w:left="1066" w:header="418"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F6075"/>
        <w:sz w:val="16"/>
      </w:rPr>
      <w:t xml:space="preserve">CODEX  ·  MAESTRO v2.0  ·  05 OCT 2026     |     </w:t>
    </w:r>
    <w:r/>
    <w:fldSimple w:instr="PAGE">
      <w:r>
        <w:t>1</w:t>
      </w:r>
    </w:fldSimple>
    <w:r>
      <w:rPr>
        <w:sz w:val="16"/>
      </w:rPr>
      <w:t xml:space="preserve"> / </w:t>
    </w:r>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6075"/>
        <w:sz w:val="16"/>
      </w:rPr>
      <w:t>REFERENCIA DE DESARROLLO  ·  NO AUTORIZA PUBLICACIÓN COMERCIAL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data"/>
      <w:spacing w:after="60"/>
      <w:pBdr>
        <w:bottom w:val="single" w:sz="6" w:color="C6DEFC"/>
      </w:pBdr>
    </w:pPr>
    <w:r>
      <w:rPr>
        <w:color w:val="3270BF"/>
        <w:sz w:val="16"/>
      </w:rPr>
      <w:t>ASCENTA  /  EXECUTIVE TRANSPORTATION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eastAsia="Calibri" w:cs="Calibri"/>
      <w:color w:val="18283F"/>
      <w:sz w:val="22"/>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line="259" w:lineRule="auto"/>
      <w:outlineLvl w:val="0"/>
    </w:pPr>
    <w:rPr>
      <w:rFonts w:asciiTheme="majorHAnsi" w:eastAsiaTheme="majorEastAsia" w:hAnsiTheme="majorHAnsi" w:cstheme="majorBidi" w:ascii="Calibri" w:hAnsi="Calibri" w:eastAsia="Calibri" w:cs="Calibri"/>
      <w:b/>
      <w:bCs/>
      <w:color w:val="001030"/>
      <w:sz w:val="36"/>
      <w:szCs w:val="28"/>
      <w:lang w:val="es-ES"/>
    </w:rPr>
  </w:style>
  <w:style w:type="paragraph" w:styleId="Heading2">
    <w:name w:val="heading 2"/>
    <w:basedOn w:val="Normal"/>
    <w:next w:val="Normal"/>
    <w:link w:val="Heading2Char"/>
    <w:uiPriority w:val="9"/>
    <w:unhideWhenUsed/>
    <w:qFormat/>
    <w:rsid w:val="00FC693F"/>
    <w:pPr>
      <w:keepNext/>
      <w:keepLines/>
      <w:spacing w:before="260" w:after="120" w:line="259" w:lineRule="auto"/>
      <w:outlineLvl w:val="1"/>
    </w:pPr>
    <w:rPr>
      <w:rFonts w:asciiTheme="majorHAnsi" w:eastAsiaTheme="majorEastAsia" w:hAnsiTheme="majorHAnsi" w:cstheme="majorBidi" w:ascii="Calibri" w:hAnsi="Calibri" w:eastAsia="Calibri" w:cs="Calibri"/>
      <w:b/>
      <w:bCs/>
      <w:color w:val="3270BF"/>
      <w:sz w:val="26"/>
      <w:szCs w:val="26"/>
      <w:lang w:val="es-ES"/>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Calibri" w:hAnsi="Calibri" w:eastAsia="Calibri" w:cs="Calibri"/>
      <w:b/>
      <w:bCs/>
      <w:color w:val="001030"/>
      <w:sz w:val="23"/>
      <w:lang w:val="es-E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Calibri" w:hAnsi="Calibri" w:eastAsia="Calibri" w:cs="Calibri"/>
      <w:b/>
      <w:bCs/>
      <w:i/>
      <w:color w:val="4F6075"/>
      <w:sz w:val="18"/>
      <w:szCs w:val="18"/>
      <w:lang w:val="es-E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60" w:line="257" w:lineRule="auto" w:before="40"/>
    </w:pPr>
    <w:rPr>
      <w:rFonts w:ascii="Calibri" w:hAnsi="Calibri" w:eastAsia="Calibri" w:cs="Calibri"/>
      <w:color w:val="18283F"/>
      <w:sz w:val="18"/>
      <w:lang w:val="es-ES"/>
    </w:rPr>
  </w:style>
  <w:style w:type="paragraph" w:customStyle="1" w:styleId="CodeBlock">
    <w:name w:val="Code Block"/>
    <w:pPr>
      <w:spacing w:after="0" w:line="264" w:lineRule="auto"/>
      <w:ind w:left="144" w:right="115"/>
    </w:pPr>
    <w:rPr>
      <w:rFonts w:ascii="Liberation Mono" w:hAnsi="Liberation Mono" w:eastAsia="Liberation Mono" w:cs="Liberation Mono"/>
      <w:color w:val="001030"/>
      <w:sz w:val="17"/>
      <w:lang w:val="es-ES"/>
    </w:rPr>
  </w:style>
  <w:style w:type="paragraph" w:customStyle="1" w:styleId="Metadata">
    <w:name w:val="Metadata"/>
    <w:pPr>
      <w:spacing w:after="100" w:line="259" w:lineRule="auto"/>
    </w:pPr>
    <w:rPr>
      <w:rFonts w:ascii="Calibri" w:hAnsi="Calibri" w:eastAsia="Calibri" w:cs="Calibri"/>
      <w:color w:val="4F6075"/>
      <w:sz w:val="21"/>
      <w:lang w:val="es-ES"/>
    </w:rPr>
  </w:style>
  <w:style w:type="paragraph" w:customStyle="1" w:styleId="Callout">
    <w:name w:val="Callout"/>
    <w:pPr>
      <w:spacing w:after="200" w:line="259" w:lineRule="auto" w:before="140"/>
      <w:ind w:left="173" w:right="173"/>
    </w:pPr>
    <w:rPr>
      <w:rFonts w:ascii="Calibri" w:hAnsi="Calibri" w:eastAsia="Calibri" w:cs="Calibri"/>
      <w:color w:val="001030"/>
      <w:sz w:val="21"/>
      <w:lang w:val="es-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ASCENTA WEB — Script maestro de implementación para Codex</dc:title>
  <dc:subject>Transformación nativa de la maqueta original: identidad, diseño, flujos, pruebas y entrega</dc:subject>
  <dc:creator>ASCENTA WEB</dc:creator>
  <cp:keywords>ASCENTA, Codex, implementación, identidad, maqueta, continuidad</cp:keywords>
  <dc:description>Guion de ejecución futura. Las imágenes son referencias, no nuevas evidencias de implementación.</dc:description>
  <cp:lastModifiedBy/>
  <cp:revision>1</cp:revision>
  <dcterms:created xsi:type="dcterms:W3CDTF">2013-12-23T23:15:00Z</dcterms:created>
  <dcterms:modified xsi:type="dcterms:W3CDTF">2013-12-23T23:15:00Z</dcterms:modified>
  <cp:category/>
</cp:coreProperties>
</file>