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color w:val="2456E6"/>
          <w:sz w:val="28"/>
          <w:szCs w:val="28"/>
        </w:rPr>
        <w:t xml:space="preserve">INFORME TÉCNICO</w:t>
      </w:r>
    </w:p>
    <w:p>
      <w:pPr>
        <w:spacing w:after="0" w:before="200"/>
        <w:jc w:val="center"/>
      </w:pPr>
      <w:r>
        <w:rPr>
          <w:rFonts w:ascii="Times New Roman" w:cs="Times New Roman" w:eastAsia="Times New Roman" w:hAnsi="Times New Roman"/>
          <w:b/>
          <w:bCs/>
          <w:color w:val="16203B"/>
          <w:sz w:val="40"/>
          <w:szCs w:val="40"/>
        </w:rPr>
        <w:t xml:space="preserve">Aplicación web con cuatro componentes y despliegue en Docker</w:t>
      </w:r>
    </w:p>
    <w:p>
      <w:pPr>
        <w:spacing w:after="900" w:before="160"/>
        <w:jc w:val="center"/>
      </w:pPr>
      <w:r>
        <w:rPr>
          <w:rFonts w:ascii="Times New Roman" w:cs="Times New Roman" w:eastAsia="Times New Roman" w:hAnsi="Times New Roman"/>
          <w:color w:val="5A6478"/>
          <w:sz w:val="26"/>
          <w:szCs w:val="26"/>
        </w:rPr>
        <w:t xml:space="preserve">Panel de Procesos — React + Vite</w:t>
      </w:r>
    </w:p>
    <w:p>
      <w:pPr>
        <w:spacing w:after="60"/>
        <w:jc w:val="center"/>
      </w:pPr>
      <w:r>
        <w:rPr>
          <w:rFonts w:ascii="Times New Roman" w:cs="Times New Roman" w:eastAsia="Times New Roman" w:hAnsi="Times New Roman"/>
          <w:color w:val="16203B"/>
          <w:sz w:val="24"/>
          <w:szCs w:val="24"/>
        </w:rPr>
        <w:t xml:space="preserve">Autor: Isaac Geovanny Betún Vergara</w:t>
      </w:r>
    </w:p>
    <w:p>
      <w:pPr>
        <w:spacing w:after="60"/>
        <w:jc w:val="center"/>
      </w:pPr>
      <w:r>
        <w:rPr>
          <w:rFonts w:ascii="Times New Roman" w:cs="Times New Roman" w:eastAsia="Times New Roman" w:hAnsi="Times New Roman"/>
          <w:color w:val="16203B"/>
          <w:sz w:val="24"/>
          <w:szCs w:val="24"/>
        </w:rPr>
        <w:t xml:space="preserve">Carrera: Tecnología Superior en Desarrollo de Software</w:t>
      </w:r>
    </w:p>
    <w:p>
      <w:pPr>
        <w:spacing w:after="60"/>
        <w:jc w:val="center"/>
      </w:pPr>
      <w:r>
        <w:rPr>
          <w:rFonts w:ascii="Times New Roman" w:cs="Times New Roman" w:eastAsia="Times New Roman" w:hAnsi="Times New Roman"/>
          <w:color w:val="5A6478"/>
          <w:sz w:val="24"/>
          <w:szCs w:val="24"/>
        </w:rPr>
        <w:t xml:space="preserve">Asignatura: [ completar — p. ej. Programación Integradora ]</w:t>
      </w:r>
    </w:p>
    <w:p>
      <w:pPr>
        <w:spacing w:after="60"/>
        <w:jc w:val="center"/>
      </w:pPr>
      <w:r>
        <w:rPr>
          <w:rFonts w:ascii="Times New Roman" w:cs="Times New Roman" w:eastAsia="Times New Roman" w:hAnsi="Times New Roman"/>
          <w:color w:val="5A6478"/>
          <w:sz w:val="24"/>
          <w:szCs w:val="24"/>
        </w:rPr>
        <w:t xml:space="preserve">Docente: [ completar ]     NRC: [ completar ]</w:t>
      </w:r>
    </w:p>
    <w:p>
      <w:pPr>
        <w:spacing w:after="60"/>
        <w:jc w:val="center"/>
      </w:pPr>
      <w:r>
        <w:rPr>
          <w:rFonts w:ascii="Times New Roman" w:cs="Times New Roman" w:eastAsia="Times New Roman" w:hAnsi="Times New Roman"/>
          <w:color w:val="5A6478"/>
          <w:sz w:val="24"/>
          <w:szCs w:val="24"/>
        </w:rPr>
        <w:t xml:space="preserve">Fecha: [ completar ]</w:t>
      </w:r>
    </w:p>
    <w:p>
      <w:r>
        <w:br w:type="page"/>
      </w:r>
    </w:p>
    <w:p>
      <w:pPr>
        <w:pStyle w:val="Heading1"/>
        <w:spacing w:after="140" w:before="320"/>
      </w:pPr>
      <w:r>
        <w:rPr>
          <w:rFonts w:ascii="Times New Roman" w:cs="Times New Roman" w:eastAsia="Times New Roman" w:hAnsi="Times New Roman"/>
          <w:b/>
          <w:bCs/>
          <w:color w:val="16203B"/>
          <w:sz w:val="30"/>
          <w:szCs w:val="30"/>
        </w:rPr>
        <w:t xml:space="preserve">1. Introducción</w:t>
      </w:r>
    </w:p>
    <w:p>
      <w:pPr>
        <w:spacing w:after="120" w:line="276"/>
        <w:jc w:val="both"/>
      </w:pPr>
      <w:r>
        <w:rPr>
          <w:rFonts w:ascii="Times New Roman" w:cs="Times New Roman" w:eastAsia="Times New Roman" w:hAnsi="Times New Roman"/>
          <w:color w:val="16203B"/>
          <w:sz w:val="24"/>
          <w:szCs w:val="24"/>
        </w:rPr>
        <w:t xml:space="preserve">El presente informe documenta el desarrollo y despliegue de una aplicación web denominada «Panel de Procesos», construida con la biblioteca React y la herramienta de compilación Vite. La aplicación integra cuatro componentes independientes, cada uno encargado de un proceso de cálculo diferente, y se despliega mediante contenedores Docker. Adicionalmente, se describe el proceso de despliegue en el entorno en línea KillerCoda, el cual clona el repositorio Git del proyecto para ejecutarlo.</w:t>
      </w:r>
    </w:p>
    <w:p>
      <w:pPr>
        <w:spacing w:after="120" w:line="276"/>
        <w:jc w:val="both"/>
      </w:pPr>
      <w:r>
        <w:rPr>
          <w:rFonts w:ascii="Times New Roman" w:cs="Times New Roman" w:eastAsia="Times New Roman" w:hAnsi="Times New Roman"/>
          <w:color w:val="16203B"/>
          <w:sz w:val="24"/>
          <w:szCs w:val="24"/>
        </w:rPr>
        <w:t xml:space="preserve">El objetivo académico es demostrar la separación de responsabilidades en componentes, la validación de datos de entrada y la contenerización de una aplicación de una sola página (SPA) para su publicación.</w:t>
      </w:r>
    </w:p>
    <w:p>
      <w:pPr>
        <w:pStyle w:val="Heading1"/>
        <w:spacing w:after="140" w:before="320"/>
      </w:pPr>
      <w:r>
        <w:rPr>
          <w:rFonts w:ascii="Times New Roman" w:cs="Times New Roman" w:eastAsia="Times New Roman" w:hAnsi="Times New Roman"/>
          <w:b/>
          <w:bCs/>
          <w:color w:val="16203B"/>
          <w:sz w:val="30"/>
          <w:szCs w:val="30"/>
        </w:rPr>
        <w:t xml:space="preserve">2. Objetivos</w:t>
      </w:r>
    </w:p>
    <w:p>
      <w:pPr>
        <w:pStyle w:val="Heading2"/>
        <w:spacing w:after="100" w:before="220"/>
      </w:pPr>
      <w:r>
        <w:rPr>
          <w:rFonts w:ascii="Times New Roman" w:cs="Times New Roman" w:eastAsia="Times New Roman" w:hAnsi="Times New Roman"/>
          <w:b/>
          <w:bCs/>
          <w:color w:val="2456E6"/>
          <w:sz w:val="26"/>
          <w:szCs w:val="26"/>
        </w:rPr>
        <w:t xml:space="preserve">2.1. Objetivo general</w:t>
      </w:r>
    </w:p>
    <w:p>
      <w:pPr>
        <w:spacing w:after="120" w:line="276"/>
        <w:jc w:val="both"/>
      </w:pPr>
      <w:r>
        <w:rPr>
          <w:rFonts w:ascii="Times New Roman" w:cs="Times New Roman" w:eastAsia="Times New Roman" w:hAnsi="Times New Roman"/>
          <w:color w:val="16203B"/>
          <w:sz w:val="24"/>
          <w:szCs w:val="24"/>
        </w:rPr>
        <w:t xml:space="preserve">Desarrollar una aplicación web en React compuesta por cuatro componentes con procesos diferenciados y desplegarla mediante Docker.</w:t>
      </w:r>
    </w:p>
    <w:p>
      <w:pPr>
        <w:pStyle w:val="Heading2"/>
        <w:spacing w:after="100" w:before="220"/>
      </w:pPr>
      <w:r>
        <w:rPr>
          <w:rFonts w:ascii="Times New Roman" w:cs="Times New Roman" w:eastAsia="Times New Roman" w:hAnsi="Times New Roman"/>
          <w:b/>
          <w:bCs/>
          <w:color w:val="2456E6"/>
          <w:sz w:val="26"/>
          <w:szCs w:val="26"/>
        </w:rPr>
        <w:t xml:space="preserve">2.2. Objetivos específicos</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Implementar cuatro componentes funcionales: operaciones básicas, cálculo de IMC, cálculos del IESS y conversor de temperatura.</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Aplicar validación de datos de entrada en cada proceso para evitar resultados inconsistentes.</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Contenerizar la aplicación con un Dockerfile de múltiples etapas que optimice el tamaño de la imagen final.</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Desplegar la aplicación en el entorno KillerCoda a partir del repositorio Git.</w:t>
      </w:r>
    </w:p>
    <w:p>
      <w:pPr>
        <w:pStyle w:val="Heading1"/>
        <w:spacing w:after="140" w:before="320"/>
      </w:pPr>
      <w:r>
        <w:rPr>
          <w:rFonts w:ascii="Times New Roman" w:cs="Times New Roman" w:eastAsia="Times New Roman" w:hAnsi="Times New Roman"/>
          <w:b/>
          <w:bCs/>
          <w:color w:val="16203B"/>
          <w:sz w:val="30"/>
          <w:szCs w:val="30"/>
        </w:rPr>
        <w:t xml:space="preserve">3. Herramientas y tecnologías</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React 18 y Vite 5: biblioteca de interfaz y empaquetador para el desarrollo del frontend.</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JavaScript (ES6+) y CSS3: lógica de los procesos y sistema de estilos.</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Docker: contenerización mediante un build multi-etapa (Node 20 para compilar y Nginx para servir).</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Nginx: servidor web que entrega los archivos estáticos en producción.</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Git y GitHub: control de versiones y alojamiento del repositorio.</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KillerCoda: entorno en línea con Docker para el despliegue.</w:t>
      </w:r>
    </w:p>
    <w:p>
      <w:pPr>
        <w:pStyle w:val="Heading1"/>
        <w:spacing w:after="140" w:before="320"/>
      </w:pPr>
      <w:r>
        <w:rPr>
          <w:rFonts w:ascii="Times New Roman" w:cs="Times New Roman" w:eastAsia="Times New Roman" w:hAnsi="Times New Roman"/>
          <w:b/>
          <w:bCs/>
          <w:color w:val="16203B"/>
          <w:sz w:val="30"/>
          <w:szCs w:val="30"/>
        </w:rPr>
        <w:t xml:space="preserve">4. Descripción de la aplicación</w:t>
      </w:r>
    </w:p>
    <w:p>
      <w:pPr>
        <w:spacing w:after="120" w:line="276"/>
        <w:jc w:val="both"/>
      </w:pPr>
      <w:r>
        <w:rPr>
          <w:rFonts w:ascii="Times New Roman" w:cs="Times New Roman" w:eastAsia="Times New Roman" w:hAnsi="Times New Roman"/>
          <w:color w:val="16203B"/>
          <w:sz w:val="24"/>
          <w:szCs w:val="24"/>
        </w:rPr>
        <w:t xml:space="preserve">La aplicación presenta una barra de navegación superior que permite alternar entre los cuatro procesos. Cada proceso se implementa como un componente React independiente, con su propio estado y color de acento, y muestra el resultado en un formato de comprobante. La siguiente tabla resume cada componente: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240"/>
      </w:tblGrid>
      <w:tr>
        <w:trPr>
          <w:tblHeader/>
        </w:trPr>
        <w:tc>
          <w:tcPr>
            <w:tcW w:type="dxa" w:w="560"/>
            <w:shd w:fill="2456E6"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w:t>
            </w:r>
          </w:p>
        </w:tc>
        <w:tc>
          <w:tcPr>
            <w:tcW w:type="dxa" w:w="2200"/>
            <w:shd w:fill="2456E6"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Componente</w:t>
            </w:r>
          </w:p>
        </w:tc>
        <w:tc>
          <w:tcPr>
            <w:tcW w:type="dxa" w:w="6240"/>
            <w:shd w:fill="2456E6"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Proceso que realiza</w:t>
            </w:r>
          </w:p>
        </w:tc>
      </w:tr>
      <w:tr>
        <w:tc>
          <w:tcPr>
            <w:tcW w:type="dxa" w:w="560"/>
            <w:tcMar>
              <w:top w:type="dxa" w:w="60"/>
              <w:left w:type="dxa" w:w="90"/>
              <w:bottom w:type="dxa" w:w="60"/>
              <w:right w:type="dxa" w:w="90"/>
            </w:tcMar>
          </w:tcPr>
          <w:p>
            <w:r>
              <w:rPr>
                <w:rFonts w:ascii="Times New Roman" w:cs="Times New Roman" w:eastAsia="Times New Roman" w:hAnsi="Times New Roman"/>
                <w:color w:val="16203B"/>
                <w:sz w:val="20"/>
                <w:szCs w:val="20"/>
              </w:rPr>
              <w:t xml:space="preserve">1</w:t>
            </w:r>
          </w:p>
        </w:tc>
        <w:tc>
          <w:tcPr>
            <w:tcW w:type="dxa" w:w="2200"/>
            <w:tcMar>
              <w:top w:type="dxa" w:w="60"/>
              <w:left w:type="dxa" w:w="90"/>
              <w:bottom w:type="dxa" w:w="60"/>
              <w:right w:type="dxa" w:w="90"/>
            </w:tcMar>
          </w:tcPr>
          <w:p>
            <w:r>
              <w:rPr>
                <w:rFonts w:ascii="Times New Roman" w:cs="Times New Roman" w:eastAsia="Times New Roman" w:hAnsi="Times New Roman"/>
                <w:color w:val="16203B"/>
                <w:sz w:val="20"/>
                <w:szCs w:val="20"/>
              </w:rPr>
              <w:t xml:space="preserve">Operaciones básicas</w:t>
            </w:r>
          </w:p>
        </w:tc>
        <w:tc>
          <w:tcPr>
            <w:tcW w:type="dxa" w:w="6240"/>
            <w:tcMar>
              <w:top w:type="dxa" w:w="60"/>
              <w:left w:type="dxa" w:w="90"/>
              <w:bottom w:type="dxa" w:w="60"/>
              <w:right w:type="dxa" w:w="90"/>
            </w:tcMar>
          </w:tcPr>
          <w:p>
            <w:r>
              <w:rPr>
                <w:rFonts w:ascii="Times New Roman" w:cs="Times New Roman" w:eastAsia="Times New Roman" w:hAnsi="Times New Roman"/>
                <w:color w:val="16203B"/>
                <w:sz w:val="20"/>
                <w:szCs w:val="20"/>
              </w:rPr>
              <w:t xml:space="preserve">Suma, resta, multiplicación y división de dos números, con validación de división para cero e historial de las operaciones realizadas.</w:t>
            </w:r>
          </w:p>
        </w:tc>
      </w:tr>
      <w:tr>
        <w:tc>
          <w:tcPr>
            <w:tcW w:type="dxa" w:w="560"/>
            <w:shd w:fill="F7F9FC" w:val="clear"/>
            <w:tcMar>
              <w:top w:type="dxa" w:w="60"/>
              <w:left w:type="dxa" w:w="90"/>
              <w:bottom w:type="dxa" w:w="60"/>
              <w:right w:type="dxa" w:w="90"/>
            </w:tcMar>
          </w:tcPr>
          <w:p>
            <w:r>
              <w:rPr>
                <w:rFonts w:ascii="Times New Roman" w:cs="Times New Roman" w:eastAsia="Times New Roman" w:hAnsi="Times New Roman"/>
                <w:color w:val="16203B"/>
                <w:sz w:val="20"/>
                <w:szCs w:val="20"/>
              </w:rPr>
              <w:t xml:space="preserve">2</w:t>
            </w:r>
          </w:p>
        </w:tc>
        <w:tc>
          <w:tcPr>
            <w:tcW w:type="dxa" w:w="2200"/>
            <w:shd w:fill="F7F9FC" w:val="clear"/>
            <w:tcMar>
              <w:top w:type="dxa" w:w="60"/>
              <w:left w:type="dxa" w:w="90"/>
              <w:bottom w:type="dxa" w:w="60"/>
              <w:right w:type="dxa" w:w="90"/>
            </w:tcMar>
          </w:tcPr>
          <w:p>
            <w:r>
              <w:rPr>
                <w:rFonts w:ascii="Times New Roman" w:cs="Times New Roman" w:eastAsia="Times New Roman" w:hAnsi="Times New Roman"/>
                <w:color w:val="16203B"/>
                <w:sz w:val="20"/>
                <w:szCs w:val="20"/>
              </w:rPr>
              <w:t xml:space="preserve">Cálculo de IMC</w:t>
            </w:r>
          </w:p>
        </w:tc>
        <w:tc>
          <w:tcPr>
            <w:tcW w:type="dxa" w:w="6240"/>
            <w:shd w:fill="F7F9FC" w:val="clear"/>
            <w:tcMar>
              <w:top w:type="dxa" w:w="60"/>
              <w:left w:type="dxa" w:w="90"/>
              <w:bottom w:type="dxa" w:w="60"/>
              <w:right w:type="dxa" w:w="90"/>
            </w:tcMar>
          </w:tcPr>
          <w:p>
            <w:r>
              <w:rPr>
                <w:rFonts w:ascii="Times New Roman" w:cs="Times New Roman" w:eastAsia="Times New Roman" w:hAnsi="Times New Roman"/>
                <w:color w:val="16203B"/>
                <w:sz w:val="20"/>
                <w:szCs w:val="20"/>
              </w:rPr>
              <w:t xml:space="preserve">Índice de masa corporal (peso / estatura²), con clasificación según los rangos de la OMS y una barra visual del resultado.</w:t>
            </w:r>
          </w:p>
        </w:tc>
      </w:tr>
      <w:tr>
        <w:tc>
          <w:tcPr>
            <w:tcW w:type="dxa" w:w="560"/>
            <w:tcMar>
              <w:top w:type="dxa" w:w="60"/>
              <w:left w:type="dxa" w:w="90"/>
              <w:bottom w:type="dxa" w:w="60"/>
              <w:right w:type="dxa" w:w="90"/>
            </w:tcMar>
          </w:tcPr>
          <w:p>
            <w:r>
              <w:rPr>
                <w:rFonts w:ascii="Times New Roman" w:cs="Times New Roman" w:eastAsia="Times New Roman" w:hAnsi="Times New Roman"/>
                <w:color w:val="16203B"/>
                <w:sz w:val="20"/>
                <w:szCs w:val="20"/>
              </w:rPr>
              <w:t xml:space="preserve">3</w:t>
            </w:r>
          </w:p>
        </w:tc>
        <w:tc>
          <w:tcPr>
            <w:tcW w:type="dxa" w:w="2200"/>
            <w:tcMar>
              <w:top w:type="dxa" w:w="60"/>
              <w:left w:type="dxa" w:w="90"/>
              <w:bottom w:type="dxa" w:w="60"/>
              <w:right w:type="dxa" w:w="90"/>
            </w:tcMar>
          </w:tcPr>
          <w:p>
            <w:r>
              <w:rPr>
                <w:rFonts w:ascii="Times New Roman" w:cs="Times New Roman" w:eastAsia="Times New Roman" w:hAnsi="Times New Roman"/>
                <w:color w:val="16203B"/>
                <w:sz w:val="20"/>
                <w:szCs w:val="20"/>
              </w:rPr>
              <w:t xml:space="preserve">Cálculos IESS</w:t>
            </w:r>
          </w:p>
        </w:tc>
        <w:tc>
          <w:tcPr>
            <w:tcW w:type="dxa" w:w="6240"/>
            <w:tcMar>
              <w:top w:type="dxa" w:w="60"/>
              <w:left w:type="dxa" w:w="90"/>
              <w:bottom w:type="dxa" w:w="60"/>
              <w:right w:type="dxa" w:w="90"/>
            </w:tcMar>
          </w:tcPr>
          <w:p>
            <w:r>
              <w:rPr>
                <w:rFonts w:ascii="Times New Roman" w:cs="Times New Roman" w:eastAsia="Times New Roman" w:hAnsi="Times New Roman"/>
                <w:color w:val="16203B"/>
                <w:sz w:val="20"/>
                <w:szCs w:val="20"/>
              </w:rPr>
              <w:t xml:space="preserve">Rol de pagos mensual: aporte personal (9,45 %), aporte patronal (12,15 %), fondos de reserva (8,33 %), líquido a recibir y costo total para el empleador.</w:t>
            </w:r>
          </w:p>
        </w:tc>
      </w:tr>
      <w:tr>
        <w:tc>
          <w:tcPr>
            <w:tcW w:type="dxa" w:w="560"/>
            <w:shd w:fill="F7F9FC" w:val="clear"/>
            <w:tcMar>
              <w:top w:type="dxa" w:w="60"/>
              <w:left w:type="dxa" w:w="90"/>
              <w:bottom w:type="dxa" w:w="60"/>
              <w:right w:type="dxa" w:w="90"/>
            </w:tcMar>
          </w:tcPr>
          <w:p>
            <w:r>
              <w:rPr>
                <w:rFonts w:ascii="Times New Roman" w:cs="Times New Roman" w:eastAsia="Times New Roman" w:hAnsi="Times New Roman"/>
                <w:color w:val="16203B"/>
                <w:sz w:val="20"/>
                <w:szCs w:val="20"/>
              </w:rPr>
              <w:t xml:space="preserve">4</w:t>
            </w:r>
          </w:p>
        </w:tc>
        <w:tc>
          <w:tcPr>
            <w:tcW w:type="dxa" w:w="2200"/>
            <w:shd w:fill="F7F9FC" w:val="clear"/>
            <w:tcMar>
              <w:top w:type="dxa" w:w="60"/>
              <w:left w:type="dxa" w:w="90"/>
              <w:bottom w:type="dxa" w:w="60"/>
              <w:right w:type="dxa" w:w="90"/>
            </w:tcMar>
          </w:tcPr>
          <w:p>
            <w:r>
              <w:rPr>
                <w:rFonts w:ascii="Times New Roman" w:cs="Times New Roman" w:eastAsia="Times New Roman" w:hAnsi="Times New Roman"/>
                <w:color w:val="16203B"/>
                <w:sz w:val="20"/>
                <w:szCs w:val="20"/>
              </w:rPr>
              <w:t xml:space="preserve">Conversor de temperatura</w:t>
            </w:r>
          </w:p>
        </w:tc>
        <w:tc>
          <w:tcPr>
            <w:tcW w:type="dxa" w:w="6240"/>
            <w:shd w:fill="F7F9FC" w:val="clear"/>
            <w:tcMar>
              <w:top w:type="dxa" w:w="60"/>
              <w:left w:type="dxa" w:w="90"/>
              <w:bottom w:type="dxa" w:w="60"/>
              <w:right w:type="dxa" w:w="90"/>
            </w:tcMar>
          </w:tcPr>
          <w:p>
            <w:r>
              <w:rPr>
                <w:rFonts w:ascii="Times New Roman" w:cs="Times New Roman" w:eastAsia="Times New Roman" w:hAnsi="Times New Roman"/>
                <w:color w:val="16203B"/>
                <w:sz w:val="20"/>
                <w:szCs w:val="20"/>
              </w:rPr>
              <w:t xml:space="preserve">Conversión entre Celsius, Fahrenheit y Kelvin, con validación del cero absoluto (−273,15 °C).</w:t>
            </w:r>
          </w:p>
        </w:tc>
      </w:tr>
    </w:tbl>
    <w:p>
      <w:pPr>
        <w:spacing w:after="120"/>
      </w:pPr>
      <w:r>
        <w:rPr>
          <w:rFonts w:ascii="Times New Roman" w:cs="Times New Roman" w:eastAsia="Times New Roman" w:hAnsi="Times New Roman"/>
          <w:i/>
          <w:iCs/>
          <w:color w:val="5A6478"/>
          <w:sz w:val="20"/>
          <w:szCs w:val="20"/>
        </w:rPr>
        <w:t xml:space="preserve">Tabla 1. Componentes de la aplicación y su proceso.</w:t>
      </w:r>
    </w:p>
    <w:p>
      <w:pPr>
        <w:pStyle w:val="Heading2"/>
        <w:spacing w:after="100" w:before="220"/>
      </w:pPr>
      <w:r>
        <w:rPr>
          <w:rFonts w:ascii="Times New Roman" w:cs="Times New Roman" w:eastAsia="Times New Roman" w:hAnsi="Times New Roman"/>
          <w:b/>
          <w:bCs/>
          <w:color w:val="2456E6"/>
          <w:sz w:val="26"/>
          <w:szCs w:val="26"/>
        </w:rPr>
        <w:t xml:space="preserve">4.1. Componente 1 — Operaciones básicas</w:t>
      </w:r>
    </w:p>
    <w:p>
      <w:pPr>
        <w:spacing w:after="120" w:line="276"/>
        <w:jc w:val="both"/>
      </w:pPr>
      <w:r>
        <w:rPr>
          <w:rFonts w:ascii="Times New Roman" w:cs="Times New Roman" w:eastAsia="Times New Roman" w:hAnsi="Times New Roman"/>
          <w:b w:val="false"/>
          <w:bCs w:val="false"/>
          <w:color w:val="16203B"/>
          <w:sz w:val="24"/>
          <w:szCs w:val="24"/>
        </w:rPr>
        <w:t xml:space="preserve">Recibe dos números reales y aplica la operación seleccionada (</w:t>
      </w:r>
      <w:r>
        <w:rPr>
          <w:rFonts w:ascii="Times New Roman" w:cs="Times New Roman" w:eastAsia="Times New Roman" w:hAnsi="Times New Roman"/>
          <w:b/>
          <w:bCs/>
          <w:color w:val="16203B"/>
          <w:sz w:val="24"/>
          <w:szCs w:val="24"/>
        </w:rPr>
        <w:t xml:space="preserve">+, −, ×, ÷</w:t>
      </w:r>
      <w:r>
        <w:rPr>
          <w:rFonts w:ascii="Times New Roman" w:cs="Times New Roman" w:eastAsia="Times New Roman" w:hAnsi="Times New Roman"/>
          <w:b w:val="false"/>
          <w:bCs w:val="false"/>
          <w:color w:val="16203B"/>
          <w:sz w:val="24"/>
          <w:szCs w:val="24"/>
        </w:rPr>
        <w:t xml:space="preserve">). Valida que ambos campos contengan números y bloquea la división para cero, mostrando un mensaje de error. Conserva un historial con las últimas seis operaciones realizadas.</w:t>
      </w:r>
    </w:p>
    <w:p>
      <w:pPr>
        <w:pStyle w:val="Heading2"/>
        <w:spacing w:after="100" w:before="220"/>
      </w:pPr>
      <w:r>
        <w:rPr>
          <w:rFonts w:ascii="Times New Roman" w:cs="Times New Roman" w:eastAsia="Times New Roman" w:hAnsi="Times New Roman"/>
          <w:b/>
          <w:bCs/>
          <w:color w:val="2456E6"/>
          <w:sz w:val="26"/>
          <w:szCs w:val="26"/>
        </w:rPr>
        <w:t xml:space="preserve">4.2. Componente 2 — Cálculo de IMC</w:t>
      </w:r>
    </w:p>
    <w:p>
      <w:pPr>
        <w:spacing w:after="120" w:line="276"/>
        <w:jc w:val="both"/>
      </w:pPr>
      <w:r>
        <w:rPr>
          <w:rFonts w:ascii="Times New Roman" w:cs="Times New Roman" w:eastAsia="Times New Roman" w:hAnsi="Times New Roman"/>
          <w:b w:val="false"/>
          <w:bCs w:val="false"/>
          <w:color w:val="16203B"/>
          <w:sz w:val="24"/>
          <w:szCs w:val="24"/>
        </w:rPr>
        <w:t xml:space="preserve">Calcula el índice de masa corporal con la fórmula </w:t>
      </w:r>
      <w:r>
        <w:rPr>
          <w:rFonts w:ascii="Times New Roman" w:cs="Times New Roman" w:eastAsia="Times New Roman" w:hAnsi="Times New Roman"/>
          <w:b/>
          <w:bCs/>
          <w:color w:val="16203B"/>
          <w:sz w:val="24"/>
          <w:szCs w:val="24"/>
        </w:rPr>
        <w:t xml:space="preserve">IMC = peso (kg) / estatura² (m²)</w:t>
      </w:r>
      <w:r>
        <w:rPr>
          <w:rFonts w:ascii="Times New Roman" w:cs="Times New Roman" w:eastAsia="Times New Roman" w:hAnsi="Times New Roman"/>
          <w:b w:val="false"/>
          <w:bCs w:val="false"/>
          <w:color w:val="16203B"/>
          <w:sz w:val="24"/>
          <w:szCs w:val="24"/>
        </w:rPr>
        <w:t xml:space="preserve">. La estatura se ingresa en centímetros y se convierte a metros. El resultado se clasifica en bajo peso, peso normal, sobrepeso u obesidad según los rangos de referencia de la OMS, y se representa sobre una barra de colores con un marcador.</w:t>
      </w:r>
    </w:p>
    <w:p>
      <w:pPr>
        <w:pStyle w:val="Heading2"/>
        <w:spacing w:after="100" w:before="220"/>
      </w:pPr>
      <w:r>
        <w:rPr>
          <w:rFonts w:ascii="Times New Roman" w:cs="Times New Roman" w:eastAsia="Times New Roman" w:hAnsi="Times New Roman"/>
          <w:b/>
          <w:bCs/>
          <w:color w:val="2456E6"/>
          <w:sz w:val="26"/>
          <w:szCs w:val="26"/>
        </w:rPr>
        <w:t xml:space="preserve">4.3. Componente 3 — Cálculos IESS</w:t>
      </w:r>
    </w:p>
    <w:p>
      <w:pPr>
        <w:spacing w:after="120" w:line="276"/>
        <w:jc w:val="both"/>
      </w:pPr>
      <w:r>
        <w:rPr>
          <w:rFonts w:ascii="Times New Roman" w:cs="Times New Roman" w:eastAsia="Times New Roman" w:hAnsi="Times New Roman"/>
          <w:color w:val="16203B"/>
          <w:sz w:val="24"/>
          <w:szCs w:val="24"/>
        </w:rPr>
        <w:t xml:space="preserve">A partir del sueldo mensual, genera un rol de pagos con los aportes al Instituto Ecuatoriano de Seguridad Social para un trabajador del sector privado en relación de dependencia. Calcula el aporte personal (9,45 %), el aporte patronal (12,15 %, que incluye IECE y SECAP), los fondos de reserva mensualizados (8,33 %, opcionales), el líquido a recibir por el trabajador y el costo total mensual para el empleador. Los valores se muestran en dólares estadounidenses.</w:t>
      </w:r>
    </w:p>
    <w:p>
      <w:pPr>
        <w:pStyle w:val="Heading2"/>
        <w:spacing w:after="100" w:before="220"/>
      </w:pPr>
      <w:r>
        <w:rPr>
          <w:rFonts w:ascii="Times New Roman" w:cs="Times New Roman" w:eastAsia="Times New Roman" w:hAnsi="Times New Roman"/>
          <w:b/>
          <w:bCs/>
          <w:color w:val="2456E6"/>
          <w:sz w:val="26"/>
          <w:szCs w:val="26"/>
        </w:rPr>
        <w:t xml:space="preserve">4.4. Componente 4 — Conversor de temperatura</w:t>
      </w:r>
    </w:p>
    <w:p>
      <w:pPr>
        <w:spacing w:after="120" w:line="276"/>
        <w:jc w:val="both"/>
      </w:pPr>
      <w:r>
        <w:rPr>
          <w:rFonts w:ascii="Times New Roman" w:cs="Times New Roman" w:eastAsia="Times New Roman" w:hAnsi="Times New Roman"/>
          <w:b w:val="false"/>
          <w:bCs w:val="false"/>
          <w:color w:val="16203B"/>
          <w:sz w:val="24"/>
          <w:szCs w:val="24"/>
        </w:rPr>
        <w:t xml:space="preserve">Convierte un valor entre las escalas Celsius, Fahrenheit y Kelvin usando las fórmulas </w:t>
      </w:r>
      <w:r>
        <w:rPr>
          <w:rFonts w:ascii="Times New Roman" w:cs="Times New Roman" w:eastAsia="Times New Roman" w:hAnsi="Times New Roman"/>
          <w:b/>
          <w:bCs/>
          <w:color w:val="16203B"/>
          <w:sz w:val="24"/>
          <w:szCs w:val="24"/>
        </w:rPr>
        <w:t xml:space="preserve">°F = °C × 9/5 + 32</w:t>
      </w:r>
      <w:r>
        <w:rPr>
          <w:rFonts w:ascii="Times New Roman" w:cs="Times New Roman" w:eastAsia="Times New Roman" w:hAnsi="Times New Roman"/>
          <w:b w:val="false"/>
          <w:bCs w:val="false"/>
          <w:color w:val="16203B"/>
          <w:sz w:val="24"/>
          <w:szCs w:val="24"/>
        </w:rPr>
        <w:t xml:space="preserve"> y </w:t>
      </w:r>
      <w:r>
        <w:rPr>
          <w:rFonts w:ascii="Times New Roman" w:cs="Times New Roman" w:eastAsia="Times New Roman" w:hAnsi="Times New Roman"/>
          <w:b/>
          <w:bCs/>
          <w:color w:val="16203B"/>
          <w:sz w:val="24"/>
          <w:szCs w:val="24"/>
        </w:rPr>
        <w:t xml:space="preserve">K = °C + 273,15</w:t>
      </w:r>
      <w:r>
        <w:rPr>
          <w:rFonts w:ascii="Times New Roman" w:cs="Times New Roman" w:eastAsia="Times New Roman" w:hAnsi="Times New Roman"/>
          <w:b w:val="false"/>
          <w:bCs w:val="false"/>
          <w:color w:val="16203B"/>
          <w:sz w:val="24"/>
          <w:szCs w:val="24"/>
        </w:rPr>
        <w:t xml:space="preserve">. Valida que el valor no se encuentre por debajo del cero absoluto, ya que no correspondería a una temperatura físicamente posible.</w:t>
      </w:r>
    </w:p>
    <w:p>
      <w:pPr>
        <w:pStyle w:val="Heading1"/>
        <w:spacing w:after="140" w:before="320"/>
      </w:pPr>
      <w:r>
        <w:rPr>
          <w:rFonts w:ascii="Times New Roman" w:cs="Times New Roman" w:eastAsia="Times New Roman" w:hAnsi="Times New Roman"/>
          <w:b/>
          <w:bCs/>
          <w:color w:val="16203B"/>
          <w:sz w:val="30"/>
          <w:szCs w:val="30"/>
        </w:rPr>
        <w:t xml:space="preserve">5. Estructura del proyecto</w:t>
      </w:r>
    </w:p>
    <w:p>
      <w:pPr>
        <w:spacing w:after="120" w:line="276"/>
        <w:jc w:val="both"/>
      </w:pPr>
      <w:r>
        <w:rPr>
          <w:rFonts w:ascii="Times New Roman" w:cs="Times New Roman" w:eastAsia="Times New Roman" w:hAnsi="Times New Roman"/>
          <w:color w:val="16203B"/>
          <w:sz w:val="24"/>
          <w:szCs w:val="24"/>
        </w:rPr>
        <w:t xml:space="preserve">El proyecto se organiza de la siguiente manera; cada componente reside en su propio archivo dentro de la carpeta src/components:</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panel-procesos/</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Dockerfile              → Build multi-etapa (Node 20 + Nginx)</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docker-compose.yml      → Levanta el contenedor</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nginx.conf              → Configuración de Nginx (SPA)</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package.json            → Dependencias y scripts</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index.html              → HTML raíz</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src/</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App.jsx             → Navegación entre los 4 procesos</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main.jsx            → Punto de entrada de React</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index.css           → Sistema de estilos</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components/</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OperacionesBasicas.jsx</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CalculoIMC.jsx</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CalculosIESS.jsx</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        └── ConversorTemperatura.jsx</w:t>
      </w:r>
    </w:p>
    <w:p>
      <w:r>
        <w:br w:type="page"/>
      </w:r>
    </w:p>
    <w:p>
      <w:pPr>
        <w:pStyle w:val="Heading1"/>
        <w:spacing w:after="140" w:before="320"/>
      </w:pPr>
      <w:r>
        <w:rPr>
          <w:rFonts w:ascii="Times New Roman" w:cs="Times New Roman" w:eastAsia="Times New Roman" w:hAnsi="Times New Roman"/>
          <w:b/>
          <w:bCs/>
          <w:color w:val="16203B"/>
          <w:sz w:val="30"/>
          <w:szCs w:val="30"/>
        </w:rPr>
        <w:t xml:space="preserve">6. Capturas de la aplicación en funcionamiento</w:t>
      </w:r>
    </w:p>
    <w:p>
      <w:pPr>
        <w:spacing w:after="120" w:line="276"/>
        <w:jc w:val="both"/>
      </w:pPr>
      <w:r>
        <w:rPr>
          <w:rFonts w:ascii="Times New Roman" w:cs="Times New Roman" w:eastAsia="Times New Roman" w:hAnsi="Times New Roman"/>
          <w:color w:val="16203B"/>
          <w:sz w:val="24"/>
          <w:szCs w:val="24"/>
        </w:rPr>
        <w:t xml:space="preserve">A continuación se presentan las capturas de cada componente en ejecución. Se recomienda mostrar un cálculo de ejemplo con su resultado en cada uno.</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del componente «Operaciones básicas» con una operación resuelta.</w:t>
      </w:r>
    </w:p>
    <w:p>
      <w:pPr>
        <w:spacing w:after="200"/>
        <w:jc w:val="center"/>
      </w:pPr>
      <w:r>
        <w:rPr>
          <w:rFonts w:ascii="Times New Roman" w:cs="Times New Roman" w:eastAsia="Times New Roman" w:hAnsi="Times New Roman"/>
          <w:b/>
          <w:bCs/>
          <w:color w:val="16203B"/>
          <w:sz w:val="20"/>
          <w:szCs w:val="20"/>
        </w:rPr>
        <w:t xml:space="preserve">Figura 1. </w:t>
      </w:r>
      <w:r>
        <w:rPr>
          <w:rFonts w:ascii="Times New Roman" w:cs="Times New Roman" w:eastAsia="Times New Roman" w:hAnsi="Times New Roman"/>
          <w:color w:val="5A6478"/>
          <w:sz w:val="20"/>
          <w:szCs w:val="20"/>
        </w:rPr>
        <w:t xml:space="preserve">Componente de operaciones básicas.</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del componente «Cálculo de IMC» mostrando la categoría y la barra.</w:t>
      </w:r>
    </w:p>
    <w:p>
      <w:pPr>
        <w:spacing w:after="200"/>
        <w:jc w:val="center"/>
      </w:pPr>
      <w:r>
        <w:rPr>
          <w:rFonts w:ascii="Times New Roman" w:cs="Times New Roman" w:eastAsia="Times New Roman" w:hAnsi="Times New Roman"/>
          <w:b/>
          <w:bCs/>
          <w:color w:val="16203B"/>
          <w:sz w:val="20"/>
          <w:szCs w:val="20"/>
        </w:rPr>
        <w:t xml:space="preserve">Figura 2. </w:t>
      </w:r>
      <w:r>
        <w:rPr>
          <w:rFonts w:ascii="Times New Roman" w:cs="Times New Roman" w:eastAsia="Times New Roman" w:hAnsi="Times New Roman"/>
          <w:color w:val="5A6478"/>
          <w:sz w:val="20"/>
          <w:szCs w:val="20"/>
        </w:rPr>
        <w:t xml:space="preserve">Componente de cálculo de IMC.</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del componente «Cálculos IESS» con el rol de pagos generado.</w:t>
      </w:r>
    </w:p>
    <w:p>
      <w:pPr>
        <w:spacing w:after="200"/>
        <w:jc w:val="center"/>
      </w:pPr>
      <w:r>
        <w:rPr>
          <w:rFonts w:ascii="Times New Roman" w:cs="Times New Roman" w:eastAsia="Times New Roman" w:hAnsi="Times New Roman"/>
          <w:b/>
          <w:bCs/>
          <w:color w:val="16203B"/>
          <w:sz w:val="20"/>
          <w:szCs w:val="20"/>
        </w:rPr>
        <w:t xml:space="preserve">Figura 3. </w:t>
      </w:r>
      <w:r>
        <w:rPr>
          <w:rFonts w:ascii="Times New Roman" w:cs="Times New Roman" w:eastAsia="Times New Roman" w:hAnsi="Times New Roman"/>
          <w:color w:val="5A6478"/>
          <w:sz w:val="20"/>
          <w:szCs w:val="20"/>
        </w:rPr>
        <w:t xml:space="preserve">Componente de cálculos del IESS.</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del componente «Conversor de temperatura» con las equivalencias.</w:t>
      </w:r>
    </w:p>
    <w:p>
      <w:pPr>
        <w:spacing w:after="200"/>
        <w:jc w:val="center"/>
      </w:pPr>
      <w:r>
        <w:rPr>
          <w:rFonts w:ascii="Times New Roman" w:cs="Times New Roman" w:eastAsia="Times New Roman" w:hAnsi="Times New Roman"/>
          <w:b/>
          <w:bCs/>
          <w:color w:val="16203B"/>
          <w:sz w:val="20"/>
          <w:szCs w:val="20"/>
        </w:rPr>
        <w:t xml:space="preserve">Figura 4. </w:t>
      </w:r>
      <w:r>
        <w:rPr>
          <w:rFonts w:ascii="Times New Roman" w:cs="Times New Roman" w:eastAsia="Times New Roman" w:hAnsi="Times New Roman"/>
          <w:color w:val="5A6478"/>
          <w:sz w:val="20"/>
          <w:szCs w:val="20"/>
        </w:rPr>
        <w:t xml:space="preserve">Componente conversor de temperatura.</w:t>
      </w:r>
    </w:p>
    <w:p>
      <w:r>
        <w:br w:type="page"/>
      </w:r>
    </w:p>
    <w:p>
      <w:pPr>
        <w:pStyle w:val="Heading1"/>
        <w:spacing w:after="140" w:before="320"/>
      </w:pPr>
      <w:r>
        <w:rPr>
          <w:rFonts w:ascii="Times New Roman" w:cs="Times New Roman" w:eastAsia="Times New Roman" w:hAnsi="Times New Roman"/>
          <w:b/>
          <w:bCs/>
          <w:color w:val="16203B"/>
          <w:sz w:val="30"/>
          <w:szCs w:val="30"/>
        </w:rPr>
        <w:t xml:space="preserve">7. Despliegue en Docker</w:t>
      </w:r>
    </w:p>
    <w:p>
      <w:pPr>
        <w:spacing w:after="120" w:line="276"/>
        <w:jc w:val="both"/>
      </w:pPr>
      <w:r>
        <w:rPr>
          <w:rFonts w:ascii="Times New Roman" w:cs="Times New Roman" w:eastAsia="Times New Roman" w:hAnsi="Times New Roman"/>
          <w:color w:val="16203B"/>
          <w:sz w:val="24"/>
          <w:szCs w:val="24"/>
        </w:rPr>
        <w:t xml:space="preserve">La aplicación se conteneriza con un Dockerfile de dos etapas. En la primera etapa, una imagen de Node 20 instala las dependencias y ejecuta la compilación de producción (npm run build), que genera los archivos estáticos en la carpeta dist. En la segunda etapa, una imagen de Nginx copia únicamente esos archivos y los sirve. De este modo, la imagen final no contiene Node ni las dependencias de desarrollo, y pesa aproximadamente 50 MB.</w:t>
      </w:r>
    </w:p>
    <w:p>
      <w:pPr>
        <w:spacing w:after="120" w:line="276"/>
        <w:jc w:val="both"/>
      </w:pPr>
      <w:r>
        <w:rPr>
          <w:rFonts w:ascii="Times New Roman" w:cs="Times New Roman" w:eastAsia="Times New Roman" w:hAnsi="Times New Roman"/>
          <w:color w:val="16203B"/>
          <w:sz w:val="24"/>
          <w:szCs w:val="24"/>
        </w:rPr>
        <w:t xml:space="preserve">La configuración de Nginx aplica la regla try_files para redirigir cualquier ruta hacia index.html, lo que permite que la aplicación de una sola página funcione correctamente al recargar la página.</w:t>
      </w:r>
    </w:p>
    <w:p>
      <w:pPr>
        <w:pStyle w:val="Heading2"/>
        <w:spacing w:after="100" w:before="220"/>
      </w:pPr>
      <w:r>
        <w:rPr>
          <w:rFonts w:ascii="Times New Roman" w:cs="Times New Roman" w:eastAsia="Times New Roman" w:hAnsi="Times New Roman"/>
          <w:b/>
          <w:bCs/>
          <w:color w:val="2456E6"/>
          <w:sz w:val="26"/>
          <w:szCs w:val="26"/>
        </w:rPr>
        <w:t xml:space="preserve">7.1. Construcción y ejecución local</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docker build -t panel-procesos:1.0 .</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docker run -d --name panel-procesos -p 8080:80 panel-procesos:1.0</w:t>
      </w:r>
    </w:p>
    <w:p>
      <w:pPr>
        <w:spacing w:after="120" w:line="276"/>
        <w:jc w:val="both"/>
      </w:pPr>
      <w:r>
        <w:rPr>
          <w:rFonts w:ascii="Times New Roman" w:cs="Times New Roman" w:eastAsia="Times New Roman" w:hAnsi="Times New Roman"/>
          <w:color w:val="16203B"/>
          <w:sz w:val="24"/>
          <w:szCs w:val="24"/>
        </w:rPr>
        <w:t xml:space="preserve">Una vez ejecutado, la aplicación queda disponible en http://localhost:8080. También puede levantarse con un solo comando mediante docker compose up -d --build.</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 la ejecución de «docker build» y «docker run» en la terminal.</w:t>
      </w:r>
    </w:p>
    <w:p>
      <w:pPr>
        <w:spacing w:after="200"/>
        <w:jc w:val="center"/>
      </w:pPr>
      <w:r>
        <w:rPr>
          <w:rFonts w:ascii="Times New Roman" w:cs="Times New Roman" w:eastAsia="Times New Roman" w:hAnsi="Times New Roman"/>
          <w:b/>
          <w:bCs/>
          <w:color w:val="16203B"/>
          <w:sz w:val="20"/>
          <w:szCs w:val="20"/>
        </w:rPr>
        <w:t xml:space="preserve">Figura 5. </w:t>
      </w:r>
      <w:r>
        <w:rPr>
          <w:rFonts w:ascii="Times New Roman" w:cs="Times New Roman" w:eastAsia="Times New Roman" w:hAnsi="Times New Roman"/>
          <w:color w:val="5A6478"/>
          <w:sz w:val="20"/>
          <w:szCs w:val="20"/>
        </w:rPr>
        <w:t xml:space="preserve">Construcción y ejecución del contenedor.</w:t>
      </w:r>
    </w:p>
    <w:p>
      <w:pPr>
        <w:pStyle w:val="Heading1"/>
        <w:spacing w:after="140" w:before="320"/>
      </w:pPr>
      <w:r>
        <w:rPr>
          <w:rFonts w:ascii="Times New Roman" w:cs="Times New Roman" w:eastAsia="Times New Roman" w:hAnsi="Times New Roman"/>
          <w:b/>
          <w:bCs/>
          <w:color w:val="16203B"/>
          <w:sz w:val="30"/>
          <w:szCs w:val="30"/>
        </w:rPr>
        <w:t xml:space="preserve">8. Despliegue en KillerCoda</w:t>
      </w:r>
    </w:p>
    <w:p>
      <w:pPr>
        <w:spacing w:after="120" w:line="276"/>
        <w:jc w:val="both"/>
      </w:pPr>
      <w:r>
        <w:rPr>
          <w:rFonts w:ascii="Times New Roman" w:cs="Times New Roman" w:eastAsia="Times New Roman" w:hAnsi="Times New Roman"/>
          <w:color w:val="16203B"/>
          <w:sz w:val="24"/>
          <w:szCs w:val="24"/>
        </w:rPr>
        <w:t xml:space="preserve">El despliegue en el entorno en línea KillerCoda se realiza clonando el repositorio Git del proyecto, sin necesidad de subir archivos comprimidos. Los pasos son los siguientes:</w:t>
      </w:r>
    </w:p>
    <w:p>
      <w:pPr>
        <w:spacing w:after="120" w:line="276"/>
        <w:jc w:val="both"/>
      </w:pPr>
      <w:r>
        <w:rPr>
          <w:rFonts w:ascii="Times New Roman" w:cs="Times New Roman" w:eastAsia="Times New Roman" w:hAnsi="Times New Roman"/>
          <w:b/>
          <w:bCs/>
          <w:color w:val="16203B"/>
          <w:sz w:val="24"/>
          <w:szCs w:val="24"/>
        </w:rPr>
        <w:t xml:space="preserve">Paso 1. </w:t>
      </w:r>
      <w:r>
        <w:rPr>
          <w:rFonts w:ascii="Times New Roman" w:cs="Times New Roman" w:eastAsia="Times New Roman" w:hAnsi="Times New Roman"/>
          <w:b w:val="false"/>
          <w:bCs w:val="false"/>
          <w:color w:val="16203B"/>
          <w:sz w:val="24"/>
          <w:szCs w:val="24"/>
        </w:rPr>
        <w:t xml:space="preserve">Ingresar a un escenario con Docker (Docker Playground de KillerCoda).</w:t>
      </w:r>
    </w:p>
    <w:p>
      <w:pPr>
        <w:spacing w:after="120" w:line="276"/>
        <w:jc w:val="both"/>
      </w:pPr>
      <w:r>
        <w:rPr>
          <w:rFonts w:ascii="Times New Roman" w:cs="Times New Roman" w:eastAsia="Times New Roman" w:hAnsi="Times New Roman"/>
          <w:b/>
          <w:bCs/>
          <w:color w:val="16203B"/>
          <w:sz w:val="24"/>
          <w:szCs w:val="24"/>
        </w:rPr>
        <w:t xml:space="preserve">Paso 2. </w:t>
      </w:r>
      <w:r>
        <w:rPr>
          <w:rFonts w:ascii="Times New Roman" w:cs="Times New Roman" w:eastAsia="Times New Roman" w:hAnsi="Times New Roman"/>
          <w:b w:val="false"/>
          <w:bCs w:val="false"/>
          <w:color w:val="16203B"/>
          <w:sz w:val="24"/>
          <w:szCs w:val="24"/>
        </w:rPr>
        <w:t xml:space="preserve">Clonar el repositorio y ubicarse en la carpeta del proyecto:</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git clone https://github.com/USUARIO/panel-procesos.git</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cd panel-procesos</w:t>
      </w:r>
    </w:p>
    <w:p>
      <w:pPr>
        <w:spacing w:after="120" w:line="276"/>
        <w:jc w:val="both"/>
      </w:pPr>
      <w:r>
        <w:rPr>
          <w:rFonts w:ascii="Times New Roman" w:cs="Times New Roman" w:eastAsia="Times New Roman" w:hAnsi="Times New Roman"/>
          <w:b/>
          <w:bCs/>
          <w:color w:val="16203B"/>
          <w:sz w:val="24"/>
          <w:szCs w:val="24"/>
        </w:rPr>
        <w:t xml:space="preserve">Paso 3. </w:t>
      </w:r>
      <w:r>
        <w:rPr>
          <w:rFonts w:ascii="Times New Roman" w:cs="Times New Roman" w:eastAsia="Times New Roman" w:hAnsi="Times New Roman"/>
          <w:b w:val="false"/>
          <w:bCs w:val="false"/>
          <w:color w:val="16203B"/>
          <w:sz w:val="24"/>
          <w:szCs w:val="24"/>
        </w:rPr>
        <w:t xml:space="preserve">Construir la imagen y ejecutar el contenedor en el puerto 80:</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docker build -t panel-procesos:1.0 .</w:t>
      </w:r>
    </w:p>
    <w:p>
      <w:pPr>
        <w:pBdr>
          <w:top w:val="single" w:color="D9DEE8" w:sz="4"/>
          <w:bottom w:val="single" w:color="D9DEE8" w:sz="4"/>
          <w:left w:val="single" w:color="D9DEE8" w:sz="4"/>
          <w:right w:val="single" w:color="D9DEE8" w:sz="4"/>
        </w:pBdr>
        <w:shd w:fill="F2F4F8" w:val="clear"/>
        <w:spacing w:after="40" w:before="40"/>
      </w:pPr>
      <w:r>
        <w:rPr>
          <w:rFonts w:ascii="Consolas" w:cs="Consolas" w:eastAsia="Consolas" w:hAnsi="Consolas"/>
          <w:color w:val="1B2A4A"/>
          <w:sz w:val="20"/>
          <w:szCs w:val="20"/>
        </w:rPr>
        <w:t xml:space="preserve">docker run -d --name panel-procesos -p 80:80 panel-procesos:1.0</w:t>
      </w:r>
    </w:p>
    <w:p>
      <w:pPr>
        <w:spacing w:after="120" w:line="276"/>
        <w:jc w:val="both"/>
      </w:pPr>
      <w:r>
        <w:rPr>
          <w:rFonts w:ascii="Times New Roman" w:cs="Times New Roman" w:eastAsia="Times New Roman" w:hAnsi="Times New Roman"/>
          <w:b/>
          <w:bCs/>
          <w:color w:val="16203B"/>
          <w:sz w:val="24"/>
          <w:szCs w:val="24"/>
        </w:rPr>
        <w:t xml:space="preserve">Paso 4. </w:t>
      </w:r>
      <w:r>
        <w:rPr>
          <w:rFonts w:ascii="Times New Roman" w:cs="Times New Roman" w:eastAsia="Times New Roman" w:hAnsi="Times New Roman"/>
          <w:b w:val="false"/>
          <w:bCs w:val="false"/>
          <w:color w:val="16203B"/>
          <w:sz w:val="24"/>
          <w:szCs w:val="24"/>
        </w:rPr>
        <w:t xml:space="preserve">Verificar el contenedor con «docker ps» y abrir la aplicación mediante el Traffic Port Accessor de KillerCoda, indicando el puerto 80.</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 la clonación del repositorio (git clone) en KillerCoda.</w:t>
      </w:r>
    </w:p>
    <w:p>
      <w:pPr>
        <w:spacing w:after="200"/>
        <w:jc w:val="center"/>
      </w:pPr>
      <w:r>
        <w:rPr>
          <w:rFonts w:ascii="Times New Roman" w:cs="Times New Roman" w:eastAsia="Times New Roman" w:hAnsi="Times New Roman"/>
          <w:b/>
          <w:bCs/>
          <w:color w:val="16203B"/>
          <w:sz w:val="20"/>
          <w:szCs w:val="20"/>
        </w:rPr>
        <w:t xml:space="preserve">Figura 6. </w:t>
      </w:r>
      <w:r>
        <w:rPr>
          <w:rFonts w:ascii="Times New Roman" w:cs="Times New Roman" w:eastAsia="Times New Roman" w:hAnsi="Times New Roman"/>
          <w:color w:val="5A6478"/>
          <w:sz w:val="20"/>
          <w:szCs w:val="20"/>
        </w:rPr>
        <w:t xml:space="preserve">Clonación del repositorio en KillerCoda.</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 «docker ps» mostrando el contenedor en ejecución.</w:t>
      </w:r>
    </w:p>
    <w:p>
      <w:pPr>
        <w:spacing w:after="200"/>
        <w:jc w:val="center"/>
      </w:pPr>
      <w:r>
        <w:rPr>
          <w:rFonts w:ascii="Times New Roman" w:cs="Times New Roman" w:eastAsia="Times New Roman" w:hAnsi="Times New Roman"/>
          <w:b/>
          <w:bCs/>
          <w:color w:val="16203B"/>
          <w:sz w:val="20"/>
          <w:szCs w:val="20"/>
        </w:rPr>
        <w:t xml:space="preserve">Figura 7. </w:t>
      </w:r>
      <w:r>
        <w:rPr>
          <w:rFonts w:ascii="Times New Roman" w:cs="Times New Roman" w:eastAsia="Times New Roman" w:hAnsi="Times New Roman"/>
          <w:color w:val="5A6478"/>
          <w:sz w:val="20"/>
          <w:szCs w:val="20"/>
        </w:rPr>
        <w:t xml:space="preserve">Contenedor en ejecución.</w:t>
      </w:r>
    </w:p>
    <w:p>
      <w:pPr>
        <w:pBdr>
          <w:top w:val="dashed" w:color="2456E6" w:sz="8"/>
          <w:bottom w:val="dashed" w:color="2456E6" w:sz="8"/>
          <w:left w:val="dashed" w:color="2456E6" w:sz="8"/>
          <w:right w:val="dashed" w:color="2456E6" w:sz="8"/>
        </w:pBdr>
        <w:shd w:fill="EEF1F6" w:val="clear"/>
        <w:spacing w:after="160" w:before="120"/>
        <w:jc w:val="center"/>
      </w:pPr>
      <w:r>
        <w:rPr>
          <w:sz w:val="24"/>
          <w:szCs w:val="24"/>
        </w:rPr>
        <w:t xml:space="preserve">🖼  </w:t>
      </w:r>
      <w:r>
        <w:rPr>
          <w:rFonts w:ascii="Times New Roman" w:cs="Times New Roman" w:eastAsia="Times New Roman" w:hAnsi="Times New Roman"/>
          <w:i/>
          <w:iCs/>
          <w:color w:val="5A6478"/>
          <w:sz w:val="22"/>
          <w:szCs w:val="22"/>
        </w:rPr>
        <w:t xml:space="preserve">Inserta aquí la captura de la aplicación abierta desde el puerto expuesto en KillerCoda.</w:t>
      </w:r>
    </w:p>
    <w:p>
      <w:pPr>
        <w:spacing w:after="200"/>
        <w:jc w:val="center"/>
      </w:pPr>
      <w:r>
        <w:rPr>
          <w:rFonts w:ascii="Times New Roman" w:cs="Times New Roman" w:eastAsia="Times New Roman" w:hAnsi="Times New Roman"/>
          <w:b/>
          <w:bCs/>
          <w:color w:val="16203B"/>
          <w:sz w:val="20"/>
          <w:szCs w:val="20"/>
        </w:rPr>
        <w:t xml:space="preserve">Figura 8. </w:t>
      </w:r>
      <w:r>
        <w:rPr>
          <w:rFonts w:ascii="Times New Roman" w:cs="Times New Roman" w:eastAsia="Times New Roman" w:hAnsi="Times New Roman"/>
          <w:color w:val="5A6478"/>
          <w:sz w:val="20"/>
          <w:szCs w:val="20"/>
        </w:rPr>
        <w:t xml:space="preserve">Aplicación desplegada y accesible desde el navegador.</w:t>
      </w:r>
    </w:p>
    <w:p>
      <w:pPr>
        <w:pStyle w:val="Heading1"/>
        <w:spacing w:after="140" w:before="320"/>
      </w:pPr>
      <w:r>
        <w:rPr>
          <w:rFonts w:ascii="Times New Roman" w:cs="Times New Roman" w:eastAsia="Times New Roman" w:hAnsi="Times New Roman"/>
          <w:b/>
          <w:bCs/>
          <w:color w:val="16203B"/>
          <w:sz w:val="30"/>
          <w:szCs w:val="30"/>
        </w:rPr>
        <w:t xml:space="preserve">9. Repositorio</w:t>
      </w:r>
    </w:p>
    <w:p>
      <w:pPr>
        <w:spacing w:after="120" w:line="276"/>
        <w:jc w:val="both"/>
      </w:pPr>
      <w:r>
        <w:rPr>
          <w:rFonts w:ascii="Times New Roman" w:cs="Times New Roman" w:eastAsia="Times New Roman" w:hAnsi="Times New Roman"/>
          <w:b w:val="false"/>
          <w:bCs w:val="false"/>
          <w:color w:val="16203B"/>
          <w:sz w:val="24"/>
          <w:szCs w:val="24"/>
        </w:rPr>
        <w:t xml:space="preserve">El código fuente completo del proyecto se encuentra alojado en el siguiente repositorio Git:</w:t>
      </w:r>
    </w:p>
    <w:p>
      <w:pPr>
        <w:spacing w:after="160" w:before="40"/>
      </w:pPr>
      <w:r>
        <w:rPr>
          <w:rFonts w:ascii="Times New Roman" w:cs="Times New Roman" w:eastAsia="Times New Roman" w:hAnsi="Times New Roman"/>
          <w:b/>
          <w:bCs/>
          <w:color w:val="2456E6"/>
          <w:sz w:val="24"/>
          <w:szCs w:val="24"/>
          <w:u w:val="single"/>
        </w:rPr>
        <w:t xml:space="preserve">https://github.com/USUARIO/panel-procesos</w:t>
      </w:r>
    </w:p>
    <w:p>
      <w:pPr>
        <w:spacing w:after="120" w:line="276"/>
        <w:jc w:val="left"/>
      </w:pPr>
      <w:r>
        <w:rPr>
          <w:rFonts w:ascii="Times New Roman" w:cs="Times New Roman" w:eastAsia="Times New Roman" w:hAnsi="Times New Roman"/>
          <w:color w:val="16203B"/>
          <w:sz w:val="24"/>
          <w:szCs w:val="24"/>
        </w:rPr>
        <w:t xml:space="preserve">(Reemplaza la URL anterior por la de tu repositorio real antes de entregar el informe.)</w:t>
      </w:r>
    </w:p>
    <w:p>
      <w:pPr>
        <w:pStyle w:val="Heading1"/>
        <w:spacing w:after="140" w:before="320"/>
      </w:pPr>
      <w:r>
        <w:rPr>
          <w:rFonts w:ascii="Times New Roman" w:cs="Times New Roman" w:eastAsia="Times New Roman" w:hAnsi="Times New Roman"/>
          <w:b/>
          <w:bCs/>
          <w:color w:val="16203B"/>
          <w:sz w:val="30"/>
          <w:szCs w:val="30"/>
        </w:rPr>
        <w:t xml:space="preserve">10. Conclusiones</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Se desarrolló una aplicación web en React compuesta por cuatro componentes independientes, cada uno con un proceso de cálculo y validación de datos propio.</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El uso de un Dockerfile multi-etapa permitió obtener una imagen de producción ligera, separando el entorno de compilación del de ejecución.</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El despliegue mediante KillerCoda a partir del repositorio Git demostró un flujo de publicación reproducible que no depende de archivos comprimidos.</w:t>
      </w:r>
    </w:p>
    <w:p>
      <w:pPr>
        <w:pStyle w:val="ListParagraph"/>
        <w:numPr>
          <w:ilvl w:val="0"/>
          <w:numId w:val="2"/>
        </w:numPr>
        <w:spacing w:after="80" w:line="276"/>
        <w:jc w:val="both"/>
      </w:pPr>
      <w:r>
        <w:rPr>
          <w:rFonts w:ascii="Times New Roman" w:cs="Times New Roman" w:eastAsia="Times New Roman" w:hAnsi="Times New Roman"/>
          <w:color w:val="16203B"/>
          <w:sz w:val="24"/>
          <w:szCs w:val="24"/>
        </w:rPr>
        <w:t xml:space="preserve">La organización del código en componentes facilita el mantenimiento y la incorporación de nuevos procesos en el futuro.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5A6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6478"/>
        <w:sz w:val="16"/>
        <w:szCs w:val="16"/>
      </w:rPr>
      <w:t xml:space="preserve">Panel de Procesos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20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Panel de Procesos</dc:title>
  <dc:creator>Isaac Betún</dc:creator>
  <cp:lastModifiedBy>Un-named</cp:lastModifiedBy>
  <cp:revision>1</cp:revision>
  <dcterms:created xsi:type="dcterms:W3CDTF">2026-07-17T13:34:07.061Z</dcterms:created>
  <dcterms:modified xsi:type="dcterms:W3CDTF">2026-07-17T13:34:07.106Z</dcterms:modified>
</cp:coreProperties>
</file>

<file path=docProps/custom.xml><?xml version="1.0" encoding="utf-8"?>
<Properties xmlns="http://schemas.openxmlformats.org/officeDocument/2006/custom-properties" xmlns:vt="http://schemas.openxmlformats.org/officeDocument/2006/docPropsVTypes"/>
</file>