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b/>
          <w:i w:val="0"/>
        </w:rPr>
        <w:t>New Phytologist Supporting Information</w:t>
      </w:r>
    </w:p>
    <w:p>
      <w:pPr>
        <w:spacing w:after="120" w:line="360" w:lineRule="auto"/>
      </w:pPr>
      <w:r>
        <w:rPr>
          <w:b/>
          <w:i w:val="0"/>
        </w:rPr>
        <w:t xml:space="preserve">Article title: </w:t>
      </w:r>
      <w:r>
        <w:rPr>
          <w:b w:val="0"/>
          <w:i w:val="0"/>
        </w:rPr>
        <w:t>Translational priming poises RNA-low genes for rapid protein output</w:t>
      </w:r>
    </w:p>
    <w:p>
      <w:pPr>
        <w:spacing w:after="120" w:line="360" w:lineRule="auto"/>
      </w:pPr>
      <w:r>
        <w:rPr>
          <w:b/>
          <w:i w:val="0"/>
        </w:rPr>
        <w:t xml:space="preserve">Authors: </w:t>
      </w:r>
      <w:r>
        <w:rPr>
          <w:b w:val="0"/>
          <w:i w:val="0"/>
        </w:rPr>
        <w:t>Isabel Cristina Vélez-Bermúdez, Wen-Dar Lin, Wolfgang Schmidt</w:t>
      </w:r>
    </w:p>
    <w:p>
      <w:pPr>
        <w:spacing w:after="240" w:line="360" w:lineRule="auto"/>
      </w:pPr>
      <w:r>
        <w:rPr>
          <w:b/>
          <w:i w:val="0"/>
        </w:rPr>
        <w:t xml:space="preserve">Article acceptance date: </w:t>
      </w:r>
      <w:r>
        <w:rPr>
          <w:b w:val="0"/>
          <w:i w:val="0"/>
        </w:rPr>
        <w:t>[to be completed]</w:t>
      </w:r>
    </w:p>
    <w:p>
      <w:pPr>
        <w:spacing w:after="240" w:line="360" w:lineRule="auto"/>
      </w:pPr>
      <w:r>
        <w:rPr>
          <w:b w:val="0"/>
          <w:i w:val="0"/>
        </w:rPr>
        <w:t>The following Supporting Information is available for this article: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8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motif_re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both"/>
      </w:pPr>
      <w:r>
        <w:rPr>
          <w:b/>
          <w:i w:val="0"/>
        </w:rPr>
        <w:t xml:space="preserve">Fig. S1 </w:t>
      </w:r>
      <w:r>
        <w:rPr>
          <w:b w:val="0"/>
          <w:i w:val="0"/>
        </w:rPr>
        <w:t xml:space="preserve">Analysis of the CTATA[A/T]A[A/T]A-like motif upstream of the start codon. </w:t>
      </w:r>
      <w:r>
        <w:rPr>
          <w:b w:val="0"/>
          <w:i w:val="0"/>
        </w:rPr>
        <w:t>(a) Percentage of sequences (−150 to +50 nt relative to the A of the AUG) with at least one motif site (position weight matrix, P &lt; 10⁻⁴) in the discovery set (high-TE, log₂TE &gt; 1.5 in both tissues), in two independent sets not used for motif discovery (1.0 &lt; log₂TE ≤ 1.5 and 0.5 &lt; log₂TE ≤ 1.5 in both tissues) and in the remaining low/mid-TE and low-TE genes, all with log₂ RNA-seq RPKM ≥ 2 in both tissues. Numbers of sequences above bars. (b) Percentage of sequences with a site in the −150 to −1 region for the 701 nuclear-encoded translationally primed genes and the reference sets, split by site location; median annotated 5′UTR length below each set. (c) Position of site centres relative to the AUG (black bar, median; at most 300 randomly selected sites per set). (d) Location of sites relative to the annotated 5′UTR (Araport11). Statistics (two-sided Fisher's exact tests against the low/mid-TE and low-TE genes) are given in Table S9.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