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br/>
        <w:br/>
        <w:br/>
        <w:t xml:space="preserve"/>
      </w:r>
    </w:p>
    <w:p>
      <w:pPr>
        <w:spacing w:after="160"/>
        <w:jc w:val="center"/>
      </w:pPr>
      <w:r>
        <w:rPr>
          <w:rFonts w:ascii="Arial" w:cs="Arial" w:eastAsia="Arial" w:hAnsi="Arial"/>
          <w:b/>
          <w:bCs/>
          <w:color w:val="0D6E4E"/>
          <w:sz w:val="24"/>
          <w:szCs w:val="24"/>
        </w:rPr>
        <w:t xml:space="preserve">UNIVERSIDAD MARIANO GÁLVEZ DE GUATEMALA</w:t>
      </w:r>
    </w:p>
    <w:p>
      <w:pPr>
        <w:spacing w:after="400"/>
        <w:jc w:val="center"/>
      </w:pPr>
      <w:r>
        <w:rPr>
          <w:rFonts w:ascii="Arial" w:cs="Arial" w:eastAsia="Arial" w:hAnsi="Arial"/>
          <w:b/>
          <w:bCs/>
          <w:sz w:val="22"/>
          <w:szCs w:val="22"/>
        </w:rPr>
        <w:t xml:space="preserve">FACULTAD DE INGENIERÍA EN SISTEMAS DE INFORMACIÓN</w:t>
      </w:r>
    </w:p>
    <w:p>
      <w:pPr>
        <w:spacing w:after="200"/>
        <w:jc w:val="center"/>
      </w:pPr>
      <w:r>
        <w:rPr>
          <w:rFonts w:ascii="Arial" w:cs="Arial" w:eastAsia="Arial" w:hAnsi="Arial"/>
          <w:b/>
          <w:bCs/>
          <w:color w:val="0D6E4E"/>
          <w:sz w:val="34"/>
          <w:szCs w:val="34"/>
        </w:rPr>
        <w:t xml:space="preserve">ANEXO — DOCUMENTACIÓN TÉCNICA</w:t>
      </w:r>
    </w:p>
    <w:p>
      <w:pPr>
        <w:spacing w:after="600"/>
        <w:jc w:val="center"/>
      </w:pPr>
      <w:r>
        <w:rPr>
          <w:rFonts w:ascii="Arial" w:cs="Arial" w:eastAsia="Arial" w:hAnsi="Arial"/>
          <w:i/>
          <w:iCs/>
          <w:color w:val="444444"/>
          <w:sz w:val="24"/>
          <w:szCs w:val="24"/>
        </w:rPr>
        <w:t xml:space="preserve">Sistema Web de Inteligencia de Negocios para Analizar Precios de la Canasta Básica de Guatemala</w:t>
      </w:r>
    </w:p>
    <w:p>
      <w:pPr>
        <w:spacing w:after="80"/>
        <w:jc w:val="center"/>
      </w:pPr>
      <w:r>
        <w:rPr>
          <w:rFonts w:ascii="Arial" w:cs="Arial" w:eastAsia="Arial" w:hAnsi="Arial"/>
          <w:b/>
          <w:bCs/>
          <w:sz w:val="24"/>
          <w:szCs w:val="24"/>
        </w:rPr>
        <w:t xml:space="preserve">María Virginia Isabel López Serrano</w:t>
      </w:r>
    </w:p>
    <w:p>
      <w:pPr>
        <w:spacing w:after="400"/>
        <w:jc w:val="center"/>
      </w:pPr>
      <w:r>
        <w:rPr>
          <w:rFonts w:ascii="Arial" w:cs="Arial" w:eastAsia="Arial" w:hAnsi="Arial"/>
          <w:color w:val="555555"/>
          <w:sz w:val="22"/>
          <w:szCs w:val="22"/>
        </w:rPr>
        <w:t xml:space="preserve">Asesor: Ing. Dicsor Yenci Hernández Ruiz</w:t>
      </w:r>
    </w:p>
    <w:p>
      <w:pPr>
        <w:jc w:val="center"/>
      </w:pPr>
      <w:r>
        <w:rPr>
          <w:rFonts w:ascii="Arial" w:cs="Arial" w:eastAsia="Arial" w:hAnsi="Arial"/>
          <w:color w:val="777777"/>
          <w:sz w:val="22"/>
          <w:szCs w:val="22"/>
        </w:rPr>
        <w:t xml:space="preserve">Guatemala, Mayo 2026</w:t>
      </w:r>
    </w:p>
    <w:p>
      <w:r>
        <w:br w:type="page"/>
      </w:r>
    </w:p>
    <w:p>
      <w:pPr>
        <w:pStyle w:val="Heading1"/>
        <w:pBdr>
          <w:bottom w:val="single" w:color="0D6E4E" w:sz="6" w:space="4"/>
        </w:pBdr>
        <w:spacing w:after="200" w:before="400"/>
      </w:pPr>
      <w:r>
        <w:rPr>
          <w:rFonts w:ascii="Arial" w:cs="Arial" w:eastAsia="Arial" w:hAnsi="Arial"/>
          <w:b/>
          <w:bCs/>
          <w:color w:val="0D6E4E"/>
          <w:sz w:val="28"/>
          <w:szCs w:val="28"/>
        </w:rPr>
        <w:t xml:space="preserve">Índice</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D6E4E" w:sz="6" w:space="4"/>
        </w:pBdr>
        <w:spacing w:after="200" w:before="400"/>
      </w:pPr>
      <w:r>
        <w:rPr>
          <w:rFonts w:ascii="Arial" w:cs="Arial" w:eastAsia="Arial" w:hAnsi="Arial"/>
          <w:b/>
          <w:bCs/>
          <w:color w:val="0D6E4E"/>
          <w:sz w:val="28"/>
          <w:szCs w:val="28"/>
        </w:rPr>
        <w:t xml:space="preserve">Introducción</w:t>
      </w:r>
    </w:p>
    <w:p>
      <w:pPr>
        <w:spacing w:after="140"/>
        <w:jc w:val="both"/>
      </w:pPr>
      <w:r>
        <w:rPr>
          <w:rFonts w:ascii="Arial" w:cs="Arial" w:eastAsia="Arial" w:hAnsi="Arial"/>
          <w:sz w:val="22"/>
          <w:szCs w:val="22"/>
        </w:rPr>
        <w:t xml:space="preserve">El presente anexo contiene la documentación técnica completa del sistema web de inteligencia de negocios desarrollado para analizar y visualizar los precios de la Canasta Básica Alimentaria (CBA) de Guatemala. El sistema, denominado CBA Dashboard, integra datos oficiales del Instituto Nacional de Estadística (INE), procesamiento en tiempo real y análisis mediante inteligencia artificial.</w:t>
      </w:r>
    </w:p>
    <w:p>
      <w:pPr>
        <w:spacing w:after="140"/>
        <w:jc w:val="both"/>
      </w:pPr>
      <w:r>
        <w:rPr>
          <w:rFonts w:ascii="Arial" w:cs="Arial" w:eastAsia="Arial" w:hAnsi="Arial"/>
          <w:sz w:val="22"/>
          <w:szCs w:val="22"/>
        </w:rPr>
        <w:t xml:space="preserve">La documentación cubre el ciclo completo de desarrollo del software: análisis de requerimientos, diseño de arquitectura, planificación y cronograma, implementación técnica, pruebas unitarias y pruebas de aceptación de usuario (UAT). Cada sección incluye tablas, diagramas y especificaciones que evidencian las decisiones técnicas tomadas durante el desarrollo.</w:t>
      </w:r>
    </w:p>
    <w:p>
      <w:pPr>
        <w:spacing w:after="140"/>
        <w:jc w:val="both"/>
      </w:pPr>
      <w:r>
        <w:rPr>
          <w:rFonts w:ascii="Arial" w:cs="Arial" w:eastAsia="Arial" w:hAnsi="Arial"/>
          <w:sz w:val="22"/>
          <w:szCs w:val="22"/>
        </w:rPr>
        <w:t xml:space="preserve">El sistema está desplegado en producción y accesible públicamente en: https://cba-dashboard-guatemala.vercel.app con su backend en: https://cba-dashboard-guatemala-production.up.railway.app</w:t>
      </w:r>
    </w:p>
    <w:p>
      <w:r>
        <w:br w:type="page"/>
      </w:r>
    </w:p>
    <w:p>
      <w:pPr>
        <w:pStyle w:val="Heading1"/>
        <w:pBdr>
          <w:bottom w:val="single" w:color="0D6E4E" w:sz="6" w:space="4"/>
        </w:pBdr>
        <w:spacing w:after="200" w:before="400"/>
      </w:pPr>
      <w:r>
        <w:rPr>
          <w:rFonts w:ascii="Arial" w:cs="Arial" w:eastAsia="Arial" w:hAnsi="Arial"/>
          <w:b/>
          <w:bCs/>
          <w:color w:val="0D6E4E"/>
          <w:sz w:val="28"/>
          <w:szCs w:val="28"/>
        </w:rPr>
        <w:t xml:space="preserve">1. Análisis</w:t>
      </w:r>
    </w:p>
    <w:p>
      <w:pPr>
        <w:pStyle w:val="Heading2"/>
        <w:spacing w:after="160" w:before="300"/>
      </w:pPr>
      <w:r>
        <w:rPr>
          <w:rFonts w:ascii="Arial" w:cs="Arial" w:eastAsia="Arial" w:hAnsi="Arial"/>
          <w:b/>
          <w:bCs/>
          <w:color w:val="1F4E79"/>
          <w:sz w:val="24"/>
          <w:szCs w:val="24"/>
        </w:rPr>
        <w:t xml:space="preserve">1.1 Objetivos del Sistema</w:t>
      </w:r>
    </w:p>
    <w:p>
      <w:pPr>
        <w:pStyle w:val="Heading3"/>
        <w:spacing w:after="100" w:before="200"/>
      </w:pPr>
      <w:r>
        <w:rPr>
          <w:rFonts w:ascii="Arial" w:cs="Arial" w:eastAsia="Arial" w:hAnsi="Arial"/>
          <w:b/>
          <w:bCs/>
          <w:color w:val="2E5F8A"/>
          <w:sz w:val="22"/>
          <w:szCs w:val="22"/>
        </w:rPr>
        <w:t xml:space="preserve">Objetivo General</w:t>
      </w:r>
    </w:p>
    <w:p>
      <w:pPr>
        <w:spacing w:after="140"/>
        <w:jc w:val="both"/>
      </w:pPr>
      <w:r>
        <w:rPr>
          <w:rFonts w:ascii="Arial" w:cs="Arial" w:eastAsia="Arial" w:hAnsi="Arial"/>
          <w:sz w:val="22"/>
          <w:szCs w:val="22"/>
        </w:rPr>
        <w:t xml:space="preserve">Desarrollar un sistema web de inteligencia de negocios para centralizar, procesar y visualizar los precios de la canasta básica alimentaria de Guatemala, mejorando el análisis e interpretación de la información mediante dashboards interactivos e inteligencia artificial.</w:t>
      </w:r>
    </w:p>
    <w:p>
      <w:pPr>
        <w:pStyle w:val="Heading3"/>
        <w:spacing w:after="100" w:before="200"/>
      </w:pPr>
      <w:r>
        <w:rPr>
          <w:rFonts w:ascii="Arial" w:cs="Arial" w:eastAsia="Arial" w:hAnsi="Arial"/>
          <w:b/>
          <w:bCs/>
          <w:color w:val="2E5F8A"/>
          <w:sz w:val="22"/>
          <w:szCs w:val="22"/>
        </w:rPr>
        <w:t xml:space="preserve">Objetivos Específicos</w:t>
      </w:r>
    </w:p>
    <w:p>
      <w:pPr>
        <w:pStyle w:val="ListParagraph"/>
        <w:numPr>
          <w:ilvl w:val="0"/>
          <w:numId w:val="2"/>
        </w:numPr>
        <w:spacing w:after="80"/>
      </w:pPr>
      <w:r>
        <w:rPr>
          <w:rFonts w:ascii="Arial" w:cs="Arial" w:eastAsia="Arial" w:hAnsi="Arial"/>
          <w:sz w:val="22"/>
          <w:szCs w:val="22"/>
        </w:rPr>
        <w:t xml:space="preserve">Reducir en un 20% el tiempo requerido para consultar y analizar la información histórica de precios, mediante dashboards interactivos que consoliden los datos publicados por el INE.</w:t>
      </w:r>
    </w:p>
    <w:p>
      <w:pPr>
        <w:pStyle w:val="ListParagraph"/>
        <w:numPr>
          <w:ilvl w:val="0"/>
          <w:numId w:val="2"/>
        </w:numPr>
        <w:spacing w:after="80"/>
      </w:pPr>
      <w:r>
        <w:rPr>
          <w:rFonts w:ascii="Arial" w:cs="Arial" w:eastAsia="Arial" w:hAnsi="Arial"/>
          <w:sz w:val="22"/>
          <w:szCs w:val="22"/>
        </w:rPr>
        <w:t xml:space="preserve">Disminuir en un 10% el costo operativo asociado al procesamiento manual de reportes estadísticos, mediante la centralización digital de los datos en una plataforma web accesible.</w:t>
      </w:r>
    </w:p>
    <w:p>
      <w:pPr>
        <w:pStyle w:val="ListParagraph"/>
        <w:numPr>
          <w:ilvl w:val="0"/>
          <w:numId w:val="2"/>
        </w:numPr>
        <w:spacing w:after="80"/>
      </w:pPr>
      <w:r>
        <w:rPr>
          <w:rFonts w:ascii="Arial" w:cs="Arial" w:eastAsia="Arial" w:hAnsi="Arial"/>
          <w:sz w:val="22"/>
          <w:szCs w:val="22"/>
        </w:rPr>
        <w:t xml:space="preserve">Mejorar en un 20% la productividad del proceso de análisis de tendencias y variaciones de precios, mediante herramientas de visualización interactiva y comparación histórica de períodos.</w:t>
      </w:r>
    </w:p>
    <w:p>
      <w:pPr>
        <w:pStyle w:val="ListParagraph"/>
        <w:numPr>
          <w:ilvl w:val="0"/>
          <w:numId w:val="2"/>
        </w:numPr>
        <w:spacing w:after="80"/>
      </w:pPr>
      <w:r>
        <w:rPr>
          <w:rFonts w:ascii="Arial" w:cs="Arial" w:eastAsia="Arial" w:hAnsi="Arial"/>
          <w:sz w:val="22"/>
          <w:szCs w:val="22"/>
        </w:rPr>
        <w:t xml:space="preserve">Integrar inteligencia artificial (GPT-4o-mini) para generar análisis narrativos contextualizados sobre el comportamiento de los precios de la CBA en Guatemala.</w:t>
      </w:r>
    </w:p>
    <w:p>
      <w:pPr>
        <w:spacing w:after="80"/>
      </w:pPr>
      <w:r>
        <w:t xml:space="preserve"/>
      </w:r>
    </w:p>
    <w:p>
      <w:pPr>
        <w:pStyle w:val="Heading2"/>
        <w:spacing w:after="160" w:before="300"/>
      </w:pPr>
      <w:r>
        <w:rPr>
          <w:rFonts w:ascii="Arial" w:cs="Arial" w:eastAsia="Arial" w:hAnsi="Arial"/>
          <w:b/>
          <w:bCs/>
          <w:color w:val="1F4E79"/>
          <w:sz w:val="24"/>
          <w:szCs w:val="24"/>
        </w:rPr>
        <w:t xml:space="preserve">1.2 Actores y Casos de Uso</w:t>
      </w:r>
    </w:p>
    <w:p>
      <w:pPr>
        <w:spacing w:after="140"/>
        <w:jc w:val="both"/>
      </w:pPr>
      <w:r>
        <w:rPr>
          <w:rFonts w:ascii="Arial" w:cs="Arial" w:eastAsia="Arial" w:hAnsi="Arial"/>
          <w:sz w:val="22"/>
          <w:szCs w:val="22"/>
        </w:rPr>
        <w:t xml:space="preserve">El sistema identifica tres actores principales que interactúan con la plataforma: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Actor</w:t>
            </w:r>
          </w:p>
        </w:tc>
        <w:tc>
          <w:tcPr>
            <w:tcW w:type="dxa" w:w="24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Tipo</w:t>
            </w:r>
          </w:p>
        </w:tc>
        <w:tc>
          <w:tcPr>
            <w:tcW w:type="dxa" w:w="476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Casos de uso principales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Analista / Usuario final</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Primario</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Consultar KPIs, visualizar gráficas históricas, filtrar productos por período, comparar dos períodos, descargar reporte IA</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Administrador del sistema</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Secundario</w:t>
            </w:r>
          </w:p>
        </w:tc>
        <w:tc>
          <w:tcPr>
            <w:tcW w:type="dxa" w:w="4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Forzar actualización de datos, monitorear logs de conexión, gestionar variables de entorno</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INE Guatemala (sistema externo)</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Externo</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Proveer datos de precios de la CBA via API CKAN en formato JSON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OpenAI GPT-4o-mini (sistema externo)</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Externo</w:t>
            </w:r>
          </w:p>
        </w:tc>
        <w:tc>
          <w:tcPr>
            <w:tcW w:type="dxa" w:w="4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Generar análisis narrativos, reportes ejecutivos y evaluaciones de productos</w:t>
            </w:r>
          </w:p>
        </w:tc>
      </w:tr>
    </w:tbl>
    <w:p>
      <w:pPr>
        <w:spacing w:after="80"/>
      </w:pPr>
      <w:r>
        <w:t xml:space="preserve"/>
      </w:r>
    </w:p>
    <w:p>
      <w:pPr>
        <w:spacing w:after="140"/>
        <w:jc w:val="both"/>
      </w:pPr>
      <w:r>
        <w:rPr>
          <w:rFonts w:ascii="Arial" w:cs="Arial" w:eastAsia="Arial" w:hAnsi="Arial"/>
          <w:sz w:val="22"/>
          <w:szCs w:val="22"/>
        </w:rPr>
        <w:t xml:space="preserve">Los casos de uso principales del sistema se organizan en cinco módulos funcionales: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Módulo</w:t>
            </w:r>
          </w:p>
        </w:tc>
        <w:tc>
          <w:tcPr>
            <w:tcW w:type="dxa" w:w="696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Casos de uso</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Panel General</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Ver KPIs actuales, visualizar evolución histórica CBAU/CBAR, consultar costos por grupo alimenticio, ver análisis IA automático</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Productos</w:t>
            </w:r>
          </w:p>
        </w:tc>
        <w:tc>
          <w:tcPr>
            <w:tcW w:type="dxa" w:w="6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Listar 66 productos del último período, filtrar por categoría, buscar por nombre, cambiar período histórico, ver detalle con análisis IA</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Estadísticas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Ver top 10 productos con mayor alza mensual, ver top 10 con mayor baja, visualizar brecha urbano-rural histórica</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Comparador</w:t>
            </w:r>
          </w:p>
        </w:tc>
        <w:tc>
          <w:tcPr>
            <w:tcW w:type="dxa" w:w="6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Seleccionar dos períodos, comparar precios de 66 productos side-by-side, ver estadísticas de cambios, filtrar y ordenar resultados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Reporte IA</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Generar reporte ejecutivo narrativo completo, descargar en formato texto</w:t>
            </w:r>
          </w:p>
        </w:tc>
      </w:tr>
    </w:tbl>
    <w:p>
      <w:pPr>
        <w:spacing w:after="80"/>
      </w:pPr>
      <w:r>
        <w:t xml:space="preserve"/>
      </w:r>
    </w:p>
    <w:p>
      <w:pPr>
        <w:pStyle w:val="Heading2"/>
        <w:spacing w:after="160" w:before="300"/>
      </w:pPr>
      <w:r>
        <w:rPr>
          <w:rFonts w:ascii="Arial" w:cs="Arial" w:eastAsia="Arial" w:hAnsi="Arial"/>
          <w:b/>
          <w:bCs/>
          <w:color w:val="1F4E79"/>
          <w:sz w:val="24"/>
          <w:szCs w:val="24"/>
        </w:rPr>
        <w:t xml:space="preserve">1.3 Requisitos Funcionales</w:t>
      </w:r>
    </w:p>
    <w:p>
      <w:pPr>
        <w:spacing w:after="140"/>
        <w:jc w:val="both"/>
      </w:pPr>
      <w:r>
        <w:rPr>
          <w:rFonts w:ascii="Arial" w:cs="Arial" w:eastAsia="Arial" w:hAnsi="Arial"/>
          <w:sz w:val="22"/>
          <w:szCs w:val="22"/>
        </w:rPr>
        <w:t xml:space="preserve">Los requisitos funcionales definen las capacidades y comportamientos específicos que el sistema debe proveer para satisfacer las necesidades de los usuarios.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560"/>
        <w:gridCol w:w="1200"/>
        <w:gridCol w:w="1000"/>
      </w:tblGrid>
      <w:tr>
        <w:trPr>
          <w:tblHeader/>
        </w:trPr>
        <w:tc>
          <w:tcPr>
            <w:tcW w:type="dxa" w:w="8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ID</w:t>
            </w:r>
          </w:p>
        </w:tc>
        <w:tc>
          <w:tcPr>
            <w:tcW w:type="dxa" w:w="18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Módulo</w:t>
            </w:r>
          </w:p>
        </w:tc>
        <w:tc>
          <w:tcPr>
            <w:tcW w:type="dxa" w:w="456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Descripción</w:t>
            </w:r>
          </w:p>
        </w:tc>
        <w:tc>
          <w:tcPr>
            <w:tcW w:type="dxa" w:w="12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Prioridad</w:t>
            </w:r>
          </w:p>
        </w:tc>
        <w:tc>
          <w:tcPr>
            <w:tcW w:type="dxa" w:w="10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Estado</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RF-01</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Backend</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Conectarse a la API CKAN del INE y obtener datos de los 4 recursos de la CBA (CBAU per cápita, CBAR per cápita, Histórico CBAU, Histórico CBAR)</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Alta</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RF-02</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Backend</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Actualizar datos automáticamente cada 24 horas mediante cron job, garantizando información vigente sin intervención manual</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Alta</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RF-03</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Panel General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Mostrar indicadores clave: CBAU per cápita, CBAR per cápita, brecha U-R, variación mensual y variación anual con contexto 'por persona/mes'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Alta</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RF-04</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Panel General</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Visualizar evolución histórica de CBAU y CBAR desde enero 2024 en gráfica de área interactiva con tooltip</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Alta</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RF-05</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Panel General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Mostrar costos por grupo alimenticio (9 categorías) en barras de progreso horizontal y gráfica de barras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Alta</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RF-06</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Productos</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Mostrar tabla con los 66 productos de la CBAU del período seleccionado con precio, unidad de medida y variación mensual calculada</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Alta</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RF-07</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Productos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Permitir seleccionar cualquier período histórico disponible para visualizar precios de ese mes específico</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Alta</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RF-08</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Productos</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Filtrar tabla de productos por grupo alimenticio y buscar en tiempo real por nombre de producto</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Media</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RF-09</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Estadísticas</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Mostrar top 10 productos con mayor alza y top 10 con mayor baja mensual en gráficas de barras horizontales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Alta</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RF-10</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Estadísticas</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Visualizar evolución histórica de la brecha entre CBAU y CBAR en gráfica de área</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Media</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RF-11</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Comparador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Seleccionar dos períodos históricos y comparar precios de los 66 productos side-by-side con diferencia en Q y variación porcentual</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Alta</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RF-12</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Comparador</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Mostrar estadísticas resumen: productos que subieron/bajaron/sin cambio, mayor alza, mayor baja, variación total de la canasta</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Alta</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RF-13</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IA — Panel</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Generar automáticamente al conectar un análisis narrativo de la situación actual: semáforo, situación, alerta y consejo</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Media</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RF-14</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IA — Productos</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Generar análisis por producto al hacer clic: tendencia, descripción, nivel de riesgo y proyección de precio</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Media</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RF-15</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IA — Reporte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Generar reporte ejecutivo completo con 7 secciones narrativas descargable en formato texto</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Baja</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RF-16</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Backend</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Activar datos de respaldo (fallback) cuando el backend no esté disponible, manteniendo funcionalidad básica del dashboard</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Alta</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RF-17</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Backend</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Ordenar períodos cronológicamente (enero, febrero... diciembre) en todos los componentes que los listen</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Alta</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RF-18</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Backend</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Calcular costos por grupo alimenticio usando únicamente el último período disponible para evitar acumulación histórica incorrecta</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Alta</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t>
            </w:r>
          </w:p>
        </w:tc>
      </w:tr>
    </w:tbl>
    <w:p>
      <w:pPr>
        <w:spacing w:after="80"/>
      </w:pPr>
      <w:r>
        <w:t xml:space="preserve"/>
      </w:r>
    </w:p>
    <w:p>
      <w:pPr>
        <w:pStyle w:val="Heading2"/>
        <w:spacing w:after="160" w:before="300"/>
      </w:pPr>
      <w:r>
        <w:rPr>
          <w:rFonts w:ascii="Arial" w:cs="Arial" w:eastAsia="Arial" w:hAnsi="Arial"/>
          <w:b/>
          <w:bCs/>
          <w:color w:val="1F4E79"/>
          <w:sz w:val="24"/>
          <w:szCs w:val="24"/>
        </w:rPr>
        <w:t xml:space="preserve">1.4 Requisitos No Funcionales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800"/>
        <w:gridCol w:w="4360"/>
        <w:gridCol w:w="800"/>
      </w:tblGrid>
      <w:tr>
        <w:trPr>
          <w:tblHeader/>
        </w:trPr>
        <w:tc>
          <w:tcPr>
            <w:tcW w:type="dxa" w:w="8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ID</w:t>
            </w:r>
          </w:p>
        </w:tc>
        <w:tc>
          <w:tcPr>
            <w:tcW w:type="dxa" w:w="16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Categoría</w:t>
            </w:r>
          </w:p>
        </w:tc>
        <w:tc>
          <w:tcPr>
            <w:tcW w:type="dxa" w:w="18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Atributo</w:t>
            </w:r>
          </w:p>
        </w:tc>
        <w:tc>
          <w:tcPr>
            <w:tcW w:type="dxa" w:w="436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Especificación</w:t>
            </w:r>
          </w:p>
        </w:tc>
        <w:tc>
          <w:tcPr>
            <w:tcW w:type="dxa" w:w="8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Estado</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RNF-01</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Rendimiento</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Tiempo de respuesta</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backend responde peticiones REST en menos de 500ms cuando los datos están en caché</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RNF-02</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Rendimiento</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Carga inicial</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dashboard se renderiza completamente en menos de 3 segundos con conexión normal</w:t>
            </w:r>
          </w:p>
        </w:tc>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RNF-03</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Rendimiento</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Timeout INE</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Timeout configurable de 60s para CKAN y 90s para descarga XLSX de la API del INE</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RNF-04</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Disponibilidad</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Fallback</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Activación automática de datos locales cuando la API del INE no responde, con indicador visual al usuario</w:t>
            </w:r>
          </w:p>
        </w:tc>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RNF-05</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Disponibilidad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Caché en disco</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Los datos descargados se almacenan en archivos JSON locales con validez de 24 horas</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RNF-06</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Disponibilidad</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Reintento</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sistema reintenta conexión automáticamente cada 5 segundos si los datos están en estado 'cargando'</w:t>
            </w:r>
          </w:p>
        </w:tc>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RNF-07</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Seguridad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API Keys</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Las claves de OpenAI se almacenan exclusivamente en variables de entorno del servidor, nunca expuestas en el frontend</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RNF-08</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Seguridad</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CORS</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backend implementa política CORS explícita controlando los orígenes permitidos</w:t>
            </w:r>
          </w:p>
        </w:tc>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RNF-09</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Seguridad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Token admin</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endpoint /admin/refresh está protegido mediante token configurable en el .env</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RNF-10</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Usabilidad</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Navegadores</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Accesible desde Chrome, Firefox y Edge sin instalación de plugins adicionales</w:t>
            </w:r>
          </w:p>
        </w:tc>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RNF-11</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Usabilidad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Retroalimentación</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sistema muestra estados de conexión (En vivo / Datos locales) y spinner de carga en todo momento</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RNF-12</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Mantenibilidad</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Modularidad</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backend está organizado en módulos independientes: server.js, routes.js, ineService.js, aiService.js</w:t>
            </w:r>
          </w:p>
        </w:tc>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RNF-13</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Mantenibilidad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Configuración</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Todos los parámetros (puertos, API keys, orígenes) centralizados en el archivo .env</w:t>
            </w:r>
          </w:p>
        </w:tc>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RNF-14</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Portabilidad</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Sistema operativo</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backend se ejecuta en cualquier sistema con Node.js 18+ (Windows, Linux, macOS)</w:t>
            </w:r>
          </w:p>
        </w:tc>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t>
            </w:r>
          </w:p>
        </w:tc>
      </w:tr>
    </w:tbl>
    <w:p>
      <w:pPr>
        <w:spacing w:after="80"/>
      </w:pPr>
      <w:r>
        <w:t xml:space="preserve"/>
      </w:r>
    </w:p>
    <w:p>
      <w:r>
        <w:br w:type="page"/>
      </w:r>
    </w:p>
    <w:p>
      <w:pPr>
        <w:pStyle w:val="Heading1"/>
        <w:pBdr>
          <w:bottom w:val="single" w:color="0D6E4E" w:sz="6" w:space="4"/>
        </w:pBdr>
        <w:spacing w:after="200" w:before="400"/>
      </w:pPr>
      <w:r>
        <w:rPr>
          <w:rFonts w:ascii="Arial" w:cs="Arial" w:eastAsia="Arial" w:hAnsi="Arial"/>
          <w:b/>
          <w:bCs/>
          <w:color w:val="0D6E4E"/>
          <w:sz w:val="28"/>
          <w:szCs w:val="28"/>
        </w:rPr>
        <w:t xml:space="preserve">2. Diseño</w:t>
      </w:r>
    </w:p>
    <w:p>
      <w:pPr>
        <w:pStyle w:val="Heading2"/>
        <w:spacing w:after="160" w:before="300"/>
      </w:pPr>
      <w:r>
        <w:rPr>
          <w:rFonts w:ascii="Arial" w:cs="Arial" w:eastAsia="Arial" w:hAnsi="Arial"/>
          <w:b/>
          <w:bCs/>
          <w:color w:val="1F4E79"/>
          <w:sz w:val="24"/>
          <w:szCs w:val="24"/>
        </w:rPr>
        <w:t xml:space="preserve">2.1 Arquitectura General</w:t>
      </w:r>
    </w:p>
    <w:p>
      <w:pPr>
        <w:spacing w:after="140"/>
        <w:jc w:val="both"/>
      </w:pPr>
      <w:r>
        <w:rPr>
          <w:rFonts w:ascii="Arial" w:cs="Arial" w:eastAsia="Arial" w:hAnsi="Arial"/>
          <w:sz w:val="22"/>
          <w:szCs w:val="22"/>
        </w:rPr>
        <w:t xml:space="preserve">El sistema implementa una arquitectura de tres capas (Three-Tier Architecture) que separa completamente la capa de presentación, la lógica de negocio y las fuentes de datos externas. Esta separación garantiza mantenibilidad, escalabilidad y seguridad.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Capa</w:t>
            </w:r>
          </w:p>
        </w:tc>
        <w:tc>
          <w:tcPr>
            <w:tcW w:type="dxa" w:w="24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Tecnología</w:t>
            </w:r>
          </w:p>
        </w:tc>
        <w:tc>
          <w:tcPr>
            <w:tcW w:type="dxa" w:w="476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Responsabilidad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Capa 1 — Presentación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React 18 + Vite + Recharts</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Renderizar dashboards, gestionar estado de UI, consumir API REST del backend, mostrar gráficas interactivas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Capa 2 — Lógica</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Node.js 18 + Express 4</w:t>
            </w:r>
          </w:p>
        </w:tc>
        <w:tc>
          <w:tcPr>
            <w:tcW w:type="dxa" w:w="4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Orquestar llamadas al INE, parsear datos CKAN, calcular variaciones, exponer API REST, gestionar caché en disco</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Capa 3 — Datos (externo)</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API CKAN del INE</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Proveer datos oficiales de precios de la CBA en formato JSON via datastore_search</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Capa IA (externo)</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OpenAI GPT-4o-mini</w:t>
            </w:r>
          </w:p>
        </w:tc>
        <w:tc>
          <w:tcPr>
            <w:tcW w:type="dxa" w:w="4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Generar análisis narrativos contextualizados sobre los datos procesados por el backend</w:t>
            </w:r>
          </w:p>
        </w:tc>
      </w:tr>
    </w:tbl>
    <w:p>
      <w:pPr>
        <w:spacing w:after="80"/>
      </w:pPr>
      <w:r>
        <w:t xml:space="preserve"/>
      </w:r>
    </w:p>
    <w:p>
      <w:pPr>
        <w:spacing w:after="140"/>
        <w:jc w:val="both"/>
      </w:pPr>
      <w:r>
        <w:rPr>
          <w:rFonts w:ascii="Arial" w:cs="Arial" w:eastAsia="Arial" w:hAnsi="Arial"/>
          <w:sz w:val="22"/>
          <w:szCs w:val="22"/>
        </w:rPr>
        <w:t xml:space="preserve">Flujo de datos del sistema: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Paso</w:t>
            </w:r>
          </w:p>
        </w:tc>
        <w:tc>
          <w:tcPr>
            <w:tcW w:type="dxa" w:w="24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Actor</w:t>
            </w:r>
          </w:p>
        </w:tc>
        <w:tc>
          <w:tcPr>
            <w:tcW w:type="dxa" w:w="636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Acción</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Usuario</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Abre el dashboard en Vercel (cba-dashboard-guatemala.vercel.app) y presiona Conectar</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2</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Frontend → Backend</w:t>
            </w:r>
          </w:p>
        </w:tc>
        <w:tc>
          <w:tcPr>
            <w:tcW w:type="dxa" w:w="6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React realiza petición HTTP a la API REST en Railway (cba-dashboard-guatemala-production.up.railway.app/api/v1)</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Backend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Verifica si el caché JSON en disco es válido (menos de 24 horas). Si es válido, devuelve los datos almacenados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4</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Backend → INE</w:t>
            </w:r>
          </w:p>
        </w:tc>
        <w:tc>
          <w:tcPr>
            <w:tcW w:type="dxa" w:w="6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Si el caché expiró, realiza petición a la API CKAN del INE con timeout de 60 segundos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5</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INE → Backend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INE responde con datos en JSON: Año, Mes, Producto, Cantidad base, Precio</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6</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Backend</w:t>
            </w:r>
          </w:p>
        </w:tc>
        <w:tc>
          <w:tcPr>
            <w:tcW w:type="dxa" w:w="6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Parsea columnas, asigna grupos alimenticios (mapa de 66 productos), calcula variaciones y almacena en caché JSON</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7</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Backend → Frontend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Devuelve datos procesados al frontend para renderizar gráficas, tablas e indicadores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8</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IA (opcional)</w:t>
            </w:r>
          </w:p>
        </w:tc>
        <w:tc>
          <w:tcPr>
            <w:tcW w:type="dxa" w:w="6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Si el usuario solicita análisis, el backend envía los KPIs y variaciones a OpenAI GPT-4o-mini y devuelve el análisis generado</w:t>
            </w:r>
          </w:p>
        </w:tc>
      </w:tr>
    </w:tbl>
    <w:p>
      <w:pPr>
        <w:spacing w:after="80"/>
      </w:pPr>
      <w:r>
        <w:t xml:space="preserve"/>
      </w:r>
    </w:p>
    <w:p>
      <w:pPr>
        <w:pStyle w:val="Heading2"/>
        <w:spacing w:after="160" w:before="300"/>
      </w:pPr>
      <w:r>
        <w:rPr>
          <w:rFonts w:ascii="Arial" w:cs="Arial" w:eastAsia="Arial" w:hAnsi="Arial"/>
          <w:b/>
          <w:bCs/>
          <w:color w:val="1F4E79"/>
          <w:sz w:val="24"/>
          <w:szCs w:val="24"/>
        </w:rPr>
        <w:t xml:space="preserve">2.2 Modelo de Datos</w:t>
      </w:r>
    </w:p>
    <w:p>
      <w:pPr>
        <w:spacing w:after="140"/>
        <w:jc w:val="both"/>
      </w:pPr>
      <w:r>
        <w:rPr>
          <w:rFonts w:ascii="Arial" w:cs="Arial" w:eastAsia="Arial" w:hAnsi="Arial"/>
          <w:sz w:val="22"/>
          <w:szCs w:val="22"/>
        </w:rPr>
        <w:t xml:space="preserve">El sistema no utiliza base de datos relacional. Los datos se almacenan en caché en archivos JSON en el servidor y se procesan en memoria RAM. La estructura de datos principal es el objeto DB en ineService.js: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Campo del objeto DB</w:t>
            </w:r>
          </w:p>
        </w:tc>
        <w:tc>
          <w:tcPr>
            <w:tcW w:type="dxa" w:w="18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Tipo</w:t>
            </w:r>
          </w:p>
        </w:tc>
        <w:tc>
          <w:tcPr>
            <w:tcW w:type="dxa" w:w="516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Descripción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ultimaActualizacion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ISO DateTime</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Timestamp de la última sincronización con la API del INE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metodo</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String</w:t>
            </w:r>
          </w:p>
        </w:tc>
        <w:tc>
          <w:tcPr>
            <w:tcW w:type="dxa" w:w="5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'ckan' (API JSON exitosa) o 'xlsx' (fallback descarga Excel) o 'cache' (datos locales)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estado</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String</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'ok' | 'cargando' | 'error' | 'error_parcial' | 'sin_datos'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cbauPercapita</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Array&lt;Object&gt;</w:t>
            </w:r>
          </w:p>
        </w:tc>
        <w:tc>
          <w:tcPr>
            <w:tcW w:type="dxa" w:w="5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{periodo, costoDiario, costoMensual} — costos per cápita CBAU por mes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cbarPercapita</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Array&lt;Object&gt;</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{periodo, costoDiario, costoMensual} — costos per cápita CBAR por mes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productosUrbanos</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Array&lt;Object&gt;</w:t>
            </w:r>
          </w:p>
        </w:tc>
        <w:tc>
          <w:tcPr>
            <w:tcW w:type="dxa" w:w="5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{periodo, grupo, producto, cantidad, unidad, precio} — histórico CBAU por producto</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productosRurales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Array&lt;Object&gt;</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Misma estructura que productosUrbanos para zona rural</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errores</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Array&lt;Object&gt;</w:t>
            </w:r>
          </w:p>
        </w:tc>
        <w:tc>
          <w:tcPr>
            <w:tcW w:type="dxa" w:w="5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{recurso, error} — registro de errores por recurso de datos</w:t>
            </w:r>
          </w:p>
        </w:tc>
      </w:tr>
    </w:tbl>
    <w:p>
      <w:pPr>
        <w:spacing w:after="80"/>
      </w:pPr>
      <w:r>
        <w:t xml:space="preserve"/>
      </w:r>
    </w:p>
    <w:p>
      <w:pPr>
        <w:spacing w:after="140"/>
        <w:jc w:val="both"/>
      </w:pPr>
      <w:r>
        <w:rPr>
          <w:rFonts w:ascii="Arial" w:cs="Arial" w:eastAsia="Arial" w:hAnsi="Arial"/>
          <w:sz w:val="22"/>
          <w:szCs w:val="22"/>
        </w:rPr>
        <w:t xml:space="preserve">Resource IDs de la API CKAN del INE Guatemala: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Recurso</w:t>
            </w:r>
          </w:p>
        </w:tc>
        <w:tc>
          <w:tcPr>
            <w:tcW w:type="dxa" w:w="616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Resource ID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CBAU per cápita mensual</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6721d034-7af0-4622-ae34-be10f0f2ac89</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CBAR per cápita mensual</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69abf503-56da-4de5-9017-875009394843</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Histórico CBAU por producto</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595747ff-a866-4192-99fa-fc032a7795b7</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Histórico CBAR por producto</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23cf94ba-25e9-457b-87fd-a5c7c1e92bcd</w:t>
            </w:r>
          </w:p>
        </w:tc>
      </w:tr>
    </w:tbl>
    <w:p>
      <w:pPr>
        <w:spacing w:after="80"/>
      </w:pPr>
      <w:r>
        <w:t xml:space="preserve"/>
      </w:r>
    </w:p>
    <w:p>
      <w:pPr>
        <w:pStyle w:val="Heading2"/>
        <w:spacing w:after="160" w:before="300"/>
      </w:pPr>
      <w:r>
        <w:rPr>
          <w:rFonts w:ascii="Arial" w:cs="Arial" w:eastAsia="Arial" w:hAnsi="Arial"/>
          <w:b/>
          <w:bCs/>
          <w:color w:val="1F4E79"/>
          <w:sz w:val="24"/>
          <w:szCs w:val="24"/>
        </w:rPr>
        <w:t xml:space="preserve">2.3 Diseño de la Interfaz</w:t>
      </w:r>
    </w:p>
    <w:p>
      <w:pPr>
        <w:spacing w:after="140"/>
        <w:jc w:val="both"/>
      </w:pPr>
      <w:r>
        <w:rPr>
          <w:rFonts w:ascii="Arial" w:cs="Arial" w:eastAsia="Arial" w:hAnsi="Arial"/>
          <w:sz w:val="22"/>
          <w:szCs w:val="22"/>
        </w:rPr>
        <w:t xml:space="preserve">La interfaz implementa un patrón de diseño BI Dashboard moderno con sidebar de navegación fijo, barra superior de estado y área de contenido principal. El sistema de diseño utiliza colores consistentes con identidad propia: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Elemento</w:t>
            </w:r>
          </w:p>
        </w:tc>
        <w:tc>
          <w:tcPr>
            <w:tcW w:type="dxa" w:w="18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Valor</w:t>
            </w:r>
          </w:p>
        </w:tc>
        <w:tc>
          <w:tcPr>
            <w:tcW w:type="dxa" w:w="516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Uso</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Color primario</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#10b981 (esmeralda)</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Elementos activos, botones principales, badges de estado positivo</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Fondo sidebar</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#0d1f2d (azul oscuro)</w:t>
            </w:r>
          </w:p>
        </w:tc>
        <w:tc>
          <w:tcPr>
            <w:tcW w:type="dxa" w:w="5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Panel de navegación lateral</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Fondo contenido</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#f0f4f8 (gris suave)</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Área principal de contenido</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Cards</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#ffffff (blanco)</w:t>
            </w:r>
          </w:p>
        </w:tc>
        <w:tc>
          <w:tcPr>
            <w:tcW w:type="dxa" w:w="5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Tarjetas KPI y paneles de contenido con sombra sutil</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Error/Bajada</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#ef4444 (rojo)</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Indicadores de precio en baja o alertas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Tipografía</w:t>
            </w:r>
          </w:p>
        </w:tc>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Inter / Segoe UI</w:t>
            </w:r>
          </w:p>
        </w:tc>
        <w:tc>
          <w:tcPr>
            <w:tcW w:type="dxa" w:w="5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Sans-serif de sistema para máxima legibilidad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Íconos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SVG de línea personalizados</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Consistentes en sidebar y elementos de UI</w:t>
            </w:r>
          </w:p>
        </w:tc>
      </w:tr>
    </w:tbl>
    <w:p>
      <w:pPr>
        <w:spacing w:after="80"/>
      </w:pPr>
      <w:r>
        <w:t xml:space="preserve"/>
      </w:r>
    </w:p>
    <w:p>
      <w:pPr>
        <w:spacing w:after="140"/>
        <w:jc w:val="both"/>
      </w:pPr>
      <w:r>
        <w:rPr>
          <w:rFonts w:ascii="Arial" w:cs="Arial" w:eastAsia="Arial" w:hAnsi="Arial"/>
          <w:sz w:val="22"/>
          <w:szCs w:val="22"/>
        </w:rPr>
        <w:t xml:space="preserve">Módulos de la interfaz y sus componentes visuales: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Módulo</w:t>
            </w:r>
          </w:p>
        </w:tc>
        <w:tc>
          <w:tcPr>
            <w:tcW w:type="dxa" w:w="736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Componentes visuales principales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Panel General</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4 tarjetas KPI con badge de contexto, gráfica de área histórica CBAU/CBAR, barras de progreso por grupo, gráfica de barras por categoría, panel IA automático</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Productos</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Tabla de 66 productos con ícono SVG de búsqueda, selector de período con ícono de calendario, filtro por categoría, badge de variación rojo/verde, modal de detalle con análisis IA</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Estadísticas</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Dos gráficas de barras horizontales (Top 10 alzas en verde / Top 10 bajas en rojo), gráfica de área de brecha U-R histórica</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Comparador</w:t>
            </w:r>
          </w:p>
        </w:tc>
        <w:tc>
          <w:tcPr>
            <w:tcW w:type="dxa" w:w="7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Dos selectores de período, botón Comparar, 6 tarjetas de estadísticas, tabla side-by-side con columnas de precio A, precio B, diferencia Q y variación %</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Reporte IA</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Ícono SVG de documento, botón de generación, 7 secciones del reporte narrativo, botones de nuevo reporte y descarga</w:t>
            </w:r>
          </w:p>
        </w:tc>
      </w:tr>
    </w:tbl>
    <w:p>
      <w:pPr>
        <w:spacing w:after="80"/>
      </w:pPr>
      <w:r>
        <w:t xml:space="preserve"/>
      </w:r>
    </w:p>
    <w:p>
      <w:pPr>
        <w:pStyle w:val="Heading2"/>
        <w:spacing w:after="160" w:before="300"/>
      </w:pPr>
      <w:r>
        <w:rPr>
          <w:rFonts w:ascii="Arial" w:cs="Arial" w:eastAsia="Arial" w:hAnsi="Arial"/>
          <w:b/>
          <w:bCs/>
          <w:color w:val="1F4E79"/>
          <w:sz w:val="24"/>
          <w:szCs w:val="24"/>
        </w:rPr>
        <w:t xml:space="preserve">2.4 Componentes de Dominio y BI</w:t>
      </w:r>
    </w:p>
    <w:p>
      <w:pPr>
        <w:spacing w:after="140"/>
        <w:jc w:val="both"/>
      </w:pPr>
      <w:r>
        <w:rPr>
          <w:rFonts w:ascii="Arial" w:cs="Arial" w:eastAsia="Arial" w:hAnsi="Arial"/>
          <w:sz w:val="22"/>
          <w:szCs w:val="22"/>
        </w:rPr>
        <w:t xml:space="preserve">El sistema implementa los siguientes componentes de inteligencia de negocios: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Componente BI</w:t>
            </w:r>
          </w:p>
        </w:tc>
        <w:tc>
          <w:tcPr>
            <w:tcW w:type="dxa" w:w="24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Implementación</w:t>
            </w:r>
          </w:p>
        </w:tc>
        <w:tc>
          <w:tcPr>
            <w:tcW w:type="dxa" w:w="456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Función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KPI Cards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React + cálculo en backend</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Indicadores clave: CBAU, CBAR, brecha U-R, variación mensual y anual con contexto por persona/mes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Serie Temporal</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AreaChart (Recharts)</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Evolución histórica de costos desde Enero 2024 con doble línea CBAU/CBAR</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Distribución por categoría</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BarChart + BarraGrupo</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Costo acumulado por grupo alimenticio del último período disponible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Ranking de variaciones</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BarChart horizontal</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Top 10 productos con mayor alza y mayor baja mensual</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Análisis comparativo</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Tabla side-by-side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Comparación de 66 productos entre dos períodos seleccionados por el usuario</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Análisis narrativo IA</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OpenAI GPT-4o-mini</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Generación automática de interpretaciones en lenguaje natural sobre los datos del INE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Semáforo de situación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Badge colorizado</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Indicador verde/amarillo/rojo según variación mensual de la CBA</w:t>
            </w:r>
          </w:p>
        </w:tc>
      </w:tr>
    </w:tbl>
    <w:p>
      <w:pPr>
        <w:spacing w:after="80"/>
      </w:pPr>
      <w:r>
        <w:t xml:space="preserve"/>
      </w:r>
    </w:p>
    <w:p>
      <w:pPr>
        <w:pStyle w:val="Heading2"/>
        <w:spacing w:after="160" w:before="300"/>
      </w:pPr>
      <w:r>
        <w:rPr>
          <w:rFonts w:ascii="Arial" w:cs="Arial" w:eastAsia="Arial" w:hAnsi="Arial"/>
          <w:b/>
          <w:bCs/>
          <w:color w:val="1F4E79"/>
          <w:sz w:val="24"/>
          <w:szCs w:val="24"/>
        </w:rPr>
        <w:t xml:space="preserve">2.5 Flujo de Carga de Modelos</w:t>
      </w:r>
    </w:p>
    <w:p>
      <w:pPr>
        <w:spacing w:after="140"/>
        <w:jc w:val="both"/>
      </w:pPr>
      <w:r>
        <w:rPr>
          <w:rFonts w:ascii="Arial" w:cs="Arial" w:eastAsia="Arial" w:hAnsi="Arial"/>
          <w:sz w:val="22"/>
          <w:szCs w:val="22"/>
        </w:rPr>
        <w:t xml:space="preserve">El flujo de carga de datos sigue una estrategia de resiliencia en cascada con tres niveles de fallback para garantizar disponibilidad máxima del sistema: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560"/>
        <w:gridCol w:w="2000"/>
      </w:tblGrid>
      <w:tr>
        <w:trPr>
          <w:tblHeader/>
        </w:trPr>
        <w:tc>
          <w:tcPr>
            <w:tcW w:type="dxa" w:w="6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Nivel</w:t>
            </w:r>
          </w:p>
        </w:tc>
        <w:tc>
          <w:tcPr>
            <w:tcW w:type="dxa" w:w="22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Fuente</w:t>
            </w:r>
          </w:p>
        </w:tc>
        <w:tc>
          <w:tcPr>
            <w:tcW w:type="dxa" w:w="456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Descripción</w:t>
            </w:r>
          </w:p>
        </w:tc>
        <w:tc>
          <w:tcPr>
            <w:tcW w:type="dxa" w:w="20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Activación</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API CKAN del INE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Petición JSON directa a datos.ine.gob.gt con los 4 Resource IDs. Timeout: 60 segundos. Método preferido.</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Al iniciar el servidor o al expirar el caché de 24h</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2</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Descarga XLSX del INE</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Si la API CKAN falla, intenta descargar el archivo Excel del INE. Timeout: 90 segundos. Parseo con SheetJS.</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Cuando nivel 1 falla con timeout o error 403</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3</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Caché en disco (JSON)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Lee los archivos JSON almacenados en ine-backend/cache/ de la descarga anterior exitosa.</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Cuando niveles 1 y 2 fallan (ej. servidor en USA bloqueado por INE)</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4</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Datos de respaldo (frontend)</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frontend activa datos locales precargados en el código fuente. Funcionalidad básica disponible.</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Cuando el backend no responde o está offline</w:t>
            </w:r>
          </w:p>
        </w:tc>
      </w:tr>
    </w:tbl>
    <w:p>
      <w:pPr>
        <w:spacing w:after="80"/>
      </w:pPr>
      <w:r>
        <w:t xml:space="preserve"/>
      </w:r>
    </w:p>
    <w:p>
      <w:pPr>
        <w:spacing w:after="140"/>
        <w:jc w:val="both"/>
      </w:pPr>
      <w:r>
        <w:rPr>
          <w:rFonts w:ascii="Arial" w:cs="Arial" w:eastAsia="Arial" w:hAnsi="Arial"/>
          <w:sz w:val="22"/>
          <w:szCs w:val="22"/>
        </w:rPr>
        <w:t xml:space="preserve">Nota técnica: La API del INE bloquea IPs de servidores ubicados fuera de Guatemala. El sistema desplegado en Railway (USA) depende principalmente del Nivel 3 (caché en disco) que se actualiza mensualmente mediante push desde una computadora ubicada en Guatemala.</w:t>
      </w:r>
    </w:p>
    <w:p>
      <w:pPr>
        <w:spacing w:after="80"/>
      </w:pPr>
      <w:r>
        <w:t xml:space="preserve"/>
      </w:r>
    </w:p>
    <w:p>
      <w:r>
        <w:br w:type="page"/>
      </w:r>
    </w:p>
    <w:p>
      <w:pPr>
        <w:pStyle w:val="Heading1"/>
        <w:pBdr>
          <w:bottom w:val="single" w:color="0D6E4E" w:sz="6" w:space="4"/>
        </w:pBdr>
        <w:spacing w:after="200" w:before="400"/>
      </w:pPr>
      <w:r>
        <w:rPr>
          <w:rFonts w:ascii="Arial" w:cs="Arial" w:eastAsia="Arial" w:hAnsi="Arial"/>
          <w:b/>
          <w:bCs/>
          <w:color w:val="0D6E4E"/>
          <w:sz w:val="28"/>
          <w:szCs w:val="28"/>
        </w:rPr>
        <w:t xml:space="preserve">3. Planificación y Cronograma</w:t>
      </w:r>
    </w:p>
    <w:p>
      <w:pPr>
        <w:pStyle w:val="Heading2"/>
        <w:spacing w:after="160" w:before="300"/>
      </w:pPr>
      <w:r>
        <w:rPr>
          <w:rFonts w:ascii="Arial" w:cs="Arial" w:eastAsia="Arial" w:hAnsi="Arial"/>
          <w:b/>
          <w:bCs/>
          <w:color w:val="1F4E79"/>
          <w:sz w:val="24"/>
          <w:szCs w:val="24"/>
        </w:rPr>
        <w:t xml:space="preserve">3.1 Fases y Entregables</w:t>
      </w:r>
    </w:p>
    <w:p>
      <w:pPr>
        <w:spacing w:after="140"/>
        <w:jc w:val="both"/>
      </w:pPr>
      <w:r>
        <w:rPr>
          <w:rFonts w:ascii="Arial" w:cs="Arial" w:eastAsia="Arial" w:hAnsi="Arial"/>
          <w:sz w:val="22"/>
          <w:szCs w:val="22"/>
        </w:rPr>
        <w:t xml:space="preserve">El proyecto se desarrolló siguiendo un enfoque iterativo e incremental con cuatro fases principales. Cada fase produjo entregables concretos que se validaron antes de avanzar a la siguiente.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000"/>
        <w:gridCol w:w="2560"/>
        <w:gridCol w:w="2000"/>
      </w:tblGrid>
      <w:tr>
        <w:trPr>
          <w:tblHeader/>
        </w:trPr>
        <w:tc>
          <w:tcPr>
            <w:tcW w:type="dxa" w:w="6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w:t>
            </w:r>
          </w:p>
        </w:tc>
        <w:tc>
          <w:tcPr>
            <w:tcW w:type="dxa" w:w="22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Fase</w:t>
            </w:r>
          </w:p>
        </w:tc>
        <w:tc>
          <w:tcPr>
            <w:tcW w:type="dxa" w:w="20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Duración</w:t>
            </w:r>
          </w:p>
        </w:tc>
        <w:tc>
          <w:tcPr>
            <w:tcW w:type="dxa" w:w="256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Entregables principales</w:t>
            </w:r>
          </w:p>
        </w:tc>
        <w:tc>
          <w:tcPr>
            <w:tcW w:type="dxa" w:w="20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Período</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Análisis y Diseño</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3 semanas</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Documento de requerimientos RF/RNF, diagramas de arquitectura, diseño de API REST, maquetas UI</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Febrero 2026</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2</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Desarrollo Backend</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2 semanas</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API REST completa (11 endpoints), integración CKAN, parseo de datos, caché, cron job, servicio IA</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Marzo 2026</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3</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Desarrollo Frontend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2 semanas</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5 módulos React implementados, hook useINEApi, gráficas Recharts, diseño responsive completo</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Abril 2026</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4</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Pruebas y Despliegue</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 semana</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Pruebas unitarias (24 casos), UAT (10 casos), despliegue Railway + Vercel, documentación técnica</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Mayo 2026</w:t>
            </w:r>
          </w:p>
        </w:tc>
      </w:tr>
    </w:tbl>
    <w:p>
      <w:pPr>
        <w:spacing w:after="80"/>
      </w:pPr>
      <w:r>
        <w:t xml:space="preserve"/>
      </w:r>
    </w:p>
    <w:p>
      <w:pPr>
        <w:pStyle w:val="Heading2"/>
        <w:spacing w:after="160" w:before="300"/>
      </w:pPr>
      <w:r>
        <w:rPr>
          <w:rFonts w:ascii="Arial" w:cs="Arial" w:eastAsia="Arial" w:hAnsi="Arial"/>
          <w:b/>
          <w:bCs/>
          <w:color w:val="1F4E79"/>
          <w:sz w:val="24"/>
          <w:szCs w:val="24"/>
        </w:rPr>
        <w:t xml:space="preserve">3.2 Hitos del Proyecto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360"/>
        <w:gridCol w:w="2400"/>
      </w:tblGrid>
      <w:tr>
        <w:trPr>
          <w:tblHeader/>
        </w:trPr>
        <w:tc>
          <w:tcPr>
            <w:tcW w:type="dxa" w:w="6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w:t>
            </w:r>
          </w:p>
        </w:tc>
        <w:tc>
          <w:tcPr>
            <w:tcW w:type="dxa" w:w="40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Hito</w:t>
            </w:r>
          </w:p>
        </w:tc>
        <w:tc>
          <w:tcPr>
            <w:tcW w:type="dxa" w:w="236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Fecha</w:t>
            </w:r>
          </w:p>
        </w:tc>
        <w:tc>
          <w:tcPr>
            <w:tcW w:type="dxa" w:w="24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Criterio de verificación</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H1</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Definición completa de requerimientos RF y RNF</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28 Feb 2026</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Documento de análisis aprobado</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H2</w:t>
            </w:r>
          </w:p>
        </w:tc>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Backend con conexión exitosa a API CKAN del INE</w:t>
            </w:r>
          </w:p>
        </w:tc>
        <w:tc>
          <w:tcPr>
            <w:tcW w:type="dxa" w:w="2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15 Mar 2026</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GET /api/v1/status devuelve ok:true con metodo:ckan</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H3</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API REST completa con 11 endpoints funcionales</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31 Mar 2026</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Todos los endpoints responden correctamente en Postman</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H4</w:t>
            </w:r>
          </w:p>
        </w:tc>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Dashboard frontend con 5 módulos operativos</w:t>
            </w:r>
          </w:p>
        </w:tc>
        <w:tc>
          <w:tcPr>
            <w:tcW w:type="dxa" w:w="2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20 Abr 2026</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Panel General, Productos, Estadísticas, Comparador y Reporte IA funcionando</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H5</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Integración IA con GPT-4o-mini activa</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25 Abr 2026</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iaDisponible:true en /status, análisis generados correctamente</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H6</w:t>
            </w:r>
          </w:p>
        </w:tc>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Despliegue en producción (Railway + Vercel)</w:t>
            </w:r>
          </w:p>
        </w:tc>
        <w:tc>
          <w:tcPr>
            <w:tcW w:type="dxa" w:w="2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26 May 2026</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Dashboard accesible en https://cba-dashboard-guatemala.vercel.app</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H7</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Pruebas UAT completadas y aprobadas</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27 May 2026</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10/10 casos de aceptación aprobados por usuario final</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H8</w:t>
            </w:r>
          </w:p>
        </w:tc>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Documentación técnica entregada</w:t>
            </w:r>
          </w:p>
        </w:tc>
        <w:tc>
          <w:tcPr>
            <w:tcW w:type="dxa" w:w="2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28 May 2026</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Documento completo siguiendo índice del asesor</w:t>
            </w:r>
          </w:p>
        </w:tc>
      </w:tr>
    </w:tbl>
    <w:p>
      <w:pPr>
        <w:spacing w:after="80"/>
      </w:pPr>
      <w:r>
        <w:t xml:space="preserve"/>
      </w:r>
    </w:p>
    <w:p>
      <w:pPr>
        <w:pStyle w:val="Heading2"/>
        <w:spacing w:after="160" w:before="300"/>
      </w:pPr>
      <w:r>
        <w:rPr>
          <w:rFonts w:ascii="Arial" w:cs="Arial" w:eastAsia="Arial" w:hAnsi="Arial"/>
          <w:b/>
          <w:bCs/>
          <w:color w:val="1F4E79"/>
          <w:sz w:val="24"/>
          <w:szCs w:val="24"/>
        </w:rPr>
        <w:t xml:space="preserve">3.3 Estimación de Costos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rPr>
          <w:tblHeader/>
        </w:trPr>
        <w:tc>
          <w:tcPr>
            <w:tcW w:type="dxa" w:w="504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Concepto</w:t>
            </w:r>
          </w:p>
        </w:tc>
        <w:tc>
          <w:tcPr>
            <w:tcW w:type="dxa" w:w="216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Costo (Q)</w:t>
            </w:r>
          </w:p>
        </w:tc>
        <w:tc>
          <w:tcPr>
            <w:tcW w:type="dxa" w:w="216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 del total</w:t>
            </w:r>
          </w:p>
        </w:tc>
      </w:tr>
      <w:tr>
        <w:tc>
          <w:tcPr>
            <w:tcW w:type="dxa" w:w="5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Análisis de requerimientos y diseño</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Q1,750.00</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13.3%</w:t>
            </w:r>
          </w:p>
        </w:tc>
      </w:tr>
      <w:tr>
        <w:tc>
          <w:tcPr>
            <w:tcW w:type="dxa" w:w="50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Desarrollo backend (Node.js + Express + API INE)</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Q4,500.00</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34.3%</w:t>
            </w:r>
          </w:p>
        </w:tc>
      </w:tr>
      <w:tr>
        <w:tc>
          <w:tcPr>
            <w:tcW w:type="dxa" w:w="5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Desarrollo frontend (React + Recharts + UI)</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Q3,375.00</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25.7%</w:t>
            </w:r>
          </w:p>
        </w:tc>
      </w:tr>
      <w:tr>
        <w:tc>
          <w:tcPr>
            <w:tcW w:type="dxa" w:w="50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Integración IA (OpenAI GPT-4o-mini)</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Q875.00</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6.7%</w:t>
            </w:r>
          </w:p>
        </w:tc>
      </w:tr>
      <w:tr>
        <w:tc>
          <w:tcPr>
            <w:tcW w:type="dxa" w:w="5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Pruebas (unitarias + UAT)</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Q1,000.00</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7.6%</w:t>
            </w:r>
          </w:p>
        </w:tc>
      </w:tr>
      <w:tr>
        <w:tc>
          <w:tcPr>
            <w:tcW w:type="dxa" w:w="50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Despliegue y documentación</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Q1,625.00</w:t>
            </w:r>
          </w:p>
        </w:tc>
        <w:tc>
          <w:tcPr>
            <w:tcW w:type="dxa" w:w="2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12.4%</w:t>
            </w:r>
          </w:p>
        </w:tc>
      </w:tr>
      <w:tr>
        <w:tc>
          <w:tcPr>
            <w:tcW w:type="dxa" w:w="504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TOTAL</w:t>
            </w:r>
          </w:p>
        </w:tc>
        <w:tc>
          <w:tcPr>
            <w:tcW w:type="dxa" w:w="216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center"/>
            </w:pPr>
            <w:r>
              <w:rPr>
                <w:rFonts w:ascii="Arial" w:cs="Arial" w:eastAsia="Arial" w:hAnsi="Arial"/>
                <w:b/>
                <w:bCs/>
                <w:color w:val="0A3D2E"/>
                <w:sz w:val="20"/>
                <w:szCs w:val="20"/>
              </w:rPr>
              <w:t xml:space="preserve">Q13,125.00</w:t>
            </w:r>
          </w:p>
        </w:tc>
        <w:tc>
          <w:tcPr>
            <w:tcW w:type="dxa" w:w="216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center"/>
            </w:pPr>
            <w:r>
              <w:rPr>
                <w:rFonts w:ascii="Arial" w:cs="Arial" w:eastAsia="Arial" w:hAnsi="Arial"/>
                <w:b/>
                <w:bCs/>
                <w:color w:val="0A3D2E"/>
                <w:sz w:val="20"/>
                <w:szCs w:val="20"/>
              </w:rPr>
              <w:t xml:space="preserve">100%</w:t>
            </w:r>
          </w:p>
        </w:tc>
      </w:tr>
    </w:tbl>
    <w:p>
      <w:pPr>
        <w:spacing w:after="80"/>
      </w:pPr>
      <w:r>
        <w:t xml:space="preserve"/>
      </w:r>
    </w:p>
    <w:p>
      <w:r>
        <w:br w:type="page"/>
      </w:r>
    </w:p>
    <w:p>
      <w:pPr>
        <w:pStyle w:val="Heading1"/>
        <w:pBdr>
          <w:bottom w:val="single" w:color="0D6E4E" w:sz="6" w:space="4"/>
        </w:pBdr>
        <w:spacing w:after="200" w:before="400"/>
      </w:pPr>
      <w:r>
        <w:rPr>
          <w:rFonts w:ascii="Arial" w:cs="Arial" w:eastAsia="Arial" w:hAnsi="Arial"/>
          <w:b/>
          <w:bCs/>
          <w:color w:val="0D6E4E"/>
          <w:sz w:val="28"/>
          <w:szCs w:val="28"/>
        </w:rPr>
        <w:t xml:space="preserve">4. Desarrollo</w:t>
      </w:r>
    </w:p>
    <w:p>
      <w:pPr>
        <w:pStyle w:val="Heading2"/>
        <w:spacing w:after="160" w:before="300"/>
      </w:pPr>
      <w:r>
        <w:rPr>
          <w:rFonts w:ascii="Arial" w:cs="Arial" w:eastAsia="Arial" w:hAnsi="Arial"/>
          <w:b/>
          <w:bCs/>
          <w:color w:val="1F4E79"/>
          <w:sz w:val="24"/>
          <w:szCs w:val="24"/>
        </w:rPr>
        <w:t xml:space="preserve">4.1 Pila Tecnológica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600"/>
        <w:gridCol w:w="4360"/>
      </w:tblGrid>
      <w:tr>
        <w:trPr>
          <w:tblHeader/>
        </w:trPr>
        <w:tc>
          <w:tcPr>
            <w:tcW w:type="dxa" w:w="14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Capa</w:t>
            </w:r>
          </w:p>
        </w:tc>
        <w:tc>
          <w:tcPr>
            <w:tcW w:type="dxa" w:w="20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Tecnología</w:t>
            </w:r>
          </w:p>
        </w:tc>
        <w:tc>
          <w:tcPr>
            <w:tcW w:type="dxa" w:w="16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Versión</w:t>
            </w:r>
          </w:p>
        </w:tc>
        <w:tc>
          <w:tcPr>
            <w:tcW w:type="dxa" w:w="436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Justificación de elección</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Frontend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React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18.x</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Librería de UI estándar con componentes funcionales, Hooks y ecosistema maduro</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Frontend</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Vite</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5.x</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Bundler ultra-rápido con Hot Module Replacement, ideal para desarrollo React</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Frontend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Recharts</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2.x</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Librería declarativa de gráficas para React: AreaChart, BarChart, Tooltip interactivo</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Backend</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Node.js</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18.x LTS</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Runtime JavaScript del lado del servidor, versión LTS para estabilidad en producción</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Backend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Express</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4.x</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Framework HTTP minimalista para construcción de API REST con middleware</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Backend</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Axios</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1.x</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Cliente HTTP con soporte de timeout configurable para peticiones a la API del INE</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Backend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node-cron</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3.x</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Planificador de tareas para actualización automática de datos cada 24 horas</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Backend</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xlsx (SheetJS)</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0.18.x</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Parser de archivos Excel para el fallback de descarga XLSX del INE</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IA</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OpenAI SDK</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4.x</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Cliente oficial para GPT-4o-mini, modelo de menor costo con respuestas en JSON estructurado</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Config</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dotenv</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16.x</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Gestión de variables de entorno: API keys, puertos, orígenes CORS</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Deploy Frontend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Vercel</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CDN global para React/Vite, despliegue automático desde GitHub, SSL gratuito</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Deploy Backend</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Railway</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PaaS para Node.js con detección automática, variables de entorno y auto-deploy desde GitHub</w:t>
            </w:r>
          </w:p>
        </w:tc>
      </w:tr>
    </w:tbl>
    <w:p>
      <w:pPr>
        <w:spacing w:after="80"/>
      </w:pPr>
      <w:r>
        <w:t xml:space="preserve"/>
      </w:r>
    </w:p>
    <w:p>
      <w:pPr>
        <w:pStyle w:val="Heading2"/>
        <w:spacing w:after="160" w:before="300"/>
      </w:pPr>
      <w:r>
        <w:rPr>
          <w:rFonts w:ascii="Arial" w:cs="Arial" w:eastAsia="Arial" w:hAnsi="Arial"/>
          <w:b/>
          <w:bCs/>
          <w:color w:val="1F4E79"/>
          <w:sz w:val="24"/>
          <w:szCs w:val="24"/>
        </w:rPr>
        <w:t xml:space="preserve">4.2 Estructura del Proyecto</w:t>
      </w:r>
    </w:p>
    <w:p>
      <w:pPr>
        <w:spacing w:after="140"/>
        <w:jc w:val="both"/>
      </w:pPr>
      <w:r>
        <w:rPr>
          <w:rFonts w:ascii="Arial" w:cs="Arial" w:eastAsia="Arial" w:hAnsi="Arial"/>
          <w:sz w:val="22"/>
          <w:szCs w:val="22"/>
        </w:rPr>
        <w:t xml:space="preserve">El repositorio GitHub (github.com/Isabel003/cba-dashboard-guatemala) organiza el código en dos directorios principales: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Archivo / Directorio</w:t>
            </w:r>
          </w:p>
        </w:tc>
        <w:tc>
          <w:tcPr>
            <w:tcW w:type="dxa" w:w="616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Descripción</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ine-backend/server.js</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Punto de entrada. Configura Express, CORS, cron job 24h, rutas y startup con carga inicial de datos</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ine-backend/src/routes.js</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Define 11 endpoints REST con lógica de negocio: filtrado, ordenamiento cronológico, cálculo de variaciones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ine-backend/src/ineService.js</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Servicio principal: conexión CKAN, parseo de columnas reales del INE, mapa de 66 productos por grupo, getters de datos, getCategorias() con filtro de último período</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ine-backend/src/aiService.js</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Servicio OpenAI: analizarCanasta(), analizarProducto(), generarReporte() con prompts especializados en seguridad alimentaria de Guatemala</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ine-backend/cache/</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Archivos JSON por recurso con timestamp de actualización: cbauPercapita.json, cbarPercapita.json, cbauHistorico.json, cbarHistorico.json</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dashboard/src/App.jsx</w:t>
            </w:r>
          </w:p>
        </w:tc>
        <w:tc>
          <w:tcPr>
            <w:tcW w:type="dxa" w:w="61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Componente raíz React (1,155 líneas). Contiene: hook useINEApi, 7 componentes de página, sistema de temas, navegación con íconos SVG</w:t>
            </w:r>
          </w:p>
        </w:tc>
      </w:tr>
    </w:tbl>
    <w:p>
      <w:pPr>
        <w:spacing w:after="80"/>
      </w:pPr>
      <w:r>
        <w:t xml:space="preserve"/>
      </w:r>
    </w:p>
    <w:p>
      <w:pPr>
        <w:pStyle w:val="Heading2"/>
        <w:spacing w:after="160" w:before="300"/>
      </w:pPr>
      <w:r>
        <w:rPr>
          <w:rFonts w:ascii="Arial" w:cs="Arial" w:eastAsia="Arial" w:hAnsi="Arial"/>
          <w:b/>
          <w:bCs/>
          <w:color w:val="1F4E79"/>
          <w:sz w:val="24"/>
          <w:szCs w:val="24"/>
        </w:rPr>
        <w:t xml:space="preserve">4.3 Implementación de las Piezas Clave</w:t>
      </w:r>
    </w:p>
    <w:p>
      <w:pPr>
        <w:pStyle w:val="Heading3"/>
        <w:spacing w:after="100" w:before="200"/>
      </w:pPr>
      <w:r>
        <w:rPr>
          <w:rFonts w:ascii="Arial" w:cs="Arial" w:eastAsia="Arial" w:hAnsi="Arial"/>
          <w:b/>
          <w:bCs/>
          <w:color w:val="2E5F8A"/>
          <w:sz w:val="22"/>
          <w:szCs w:val="22"/>
        </w:rPr>
        <w:t xml:space="preserve">Ordenamiento cronológico de períodos (sortPer)</w:t>
      </w:r>
    </w:p>
    <w:p>
      <w:pPr>
        <w:spacing w:after="140"/>
        <w:jc w:val="both"/>
      </w:pPr>
      <w:r>
        <w:rPr>
          <w:rFonts w:ascii="Arial" w:cs="Arial" w:eastAsia="Arial" w:hAnsi="Arial"/>
          <w:sz w:val="22"/>
          <w:szCs w:val="22"/>
        </w:rPr>
        <w:t xml:space="preserve">El INE nombra los períodos como 'Enero 2024', 'Febrero 2024', etc. El ordenamiento alfabético produce resultados incorrectos (Abril &lt; Agosto &lt; Enero). Se implementó la función sortPer() que convierte el nombre del mes a número y genera una clave compuesta año×100+mes, garantizando orden cronológico en todos los componentes.</w:t>
      </w:r>
    </w:p>
    <w:p>
      <w:pPr>
        <w:spacing w:after="80"/>
      </w:pPr>
      <w:r>
        <w:t xml:space="preserve"/>
      </w:r>
    </w:p>
    <w:p>
      <w:pPr>
        <w:pStyle w:val="Heading3"/>
        <w:spacing w:after="100" w:before="200"/>
      </w:pPr>
      <w:r>
        <w:rPr>
          <w:rFonts w:ascii="Arial" w:cs="Arial" w:eastAsia="Arial" w:hAnsi="Arial"/>
          <w:b/>
          <w:bCs/>
          <w:color w:val="2E5F8A"/>
          <w:sz w:val="22"/>
          <w:szCs w:val="22"/>
        </w:rPr>
        <w:t xml:space="preserve">Asignación de grupos alimenticios</w:t>
      </w:r>
    </w:p>
    <w:p>
      <w:pPr>
        <w:spacing w:after="140"/>
        <w:jc w:val="both"/>
      </w:pPr>
      <w:r>
        <w:rPr>
          <w:rFonts w:ascii="Arial" w:cs="Arial" w:eastAsia="Arial" w:hAnsi="Arial"/>
          <w:sz w:val="22"/>
          <w:szCs w:val="22"/>
        </w:rPr>
        <w:t xml:space="preserve">La API CKAN del INE no incluye columna de grupo alimenticio en el histórico de productos. Se construyó un mapa estático de 66 entradas en ineService.js que asigna a cada producto su grupo correspondiente entre las 9 categorías: Cereales y derivados, Carnes, Lácteos y huevos, Aceites y grasas, Frutas, Verduras y hortalizas, Leguminosas, Azúcares, Condimentos y otros, Bebidas y Comidas preparadas.</w:t>
      </w:r>
    </w:p>
    <w:p>
      <w:pPr>
        <w:spacing w:after="80"/>
      </w:pPr>
      <w:r>
        <w:t xml:space="preserve"/>
      </w:r>
    </w:p>
    <w:p>
      <w:pPr>
        <w:pStyle w:val="Heading3"/>
        <w:spacing w:after="100" w:before="200"/>
      </w:pPr>
      <w:r>
        <w:rPr>
          <w:rFonts w:ascii="Arial" w:cs="Arial" w:eastAsia="Arial" w:hAnsi="Arial"/>
          <w:b/>
          <w:bCs/>
          <w:color w:val="2E5F8A"/>
          <w:sz w:val="22"/>
          <w:szCs w:val="22"/>
        </w:rPr>
        <w:t xml:space="preserve">Cálculo de costos por categoría (getCategorias)</w:t>
      </w:r>
    </w:p>
    <w:p>
      <w:pPr>
        <w:spacing w:after="140"/>
        <w:jc w:val="both"/>
      </w:pPr>
      <w:r>
        <w:rPr>
          <w:rFonts w:ascii="Arial" w:cs="Arial" w:eastAsia="Arial" w:hAnsi="Arial"/>
          <w:sz w:val="22"/>
          <w:szCs w:val="22"/>
        </w:rPr>
        <w:t xml:space="preserve">Se detectó un error de acumulación donde la función sumaba los precios de todos los períodos históricos en lugar del último. La corrección implementada filtra primero el último período disponible antes de sumar costos, produciendo valores reales del mes vigente (ej. Q34 en Carnes) en lugar de sumas acumuladas incorrectas.</w:t>
      </w:r>
    </w:p>
    <w:p>
      <w:pPr>
        <w:spacing w:after="80"/>
      </w:pPr>
      <w:r>
        <w:t xml:space="preserve"/>
      </w:r>
    </w:p>
    <w:p>
      <w:pPr>
        <w:pStyle w:val="Heading3"/>
        <w:spacing w:after="100" w:before="200"/>
      </w:pPr>
      <w:r>
        <w:rPr>
          <w:rFonts w:ascii="Arial" w:cs="Arial" w:eastAsia="Arial" w:hAnsi="Arial"/>
          <w:b/>
          <w:bCs/>
          <w:color w:val="2E5F8A"/>
          <w:sz w:val="22"/>
          <w:szCs w:val="22"/>
        </w:rPr>
        <w:t xml:space="preserve">Arquitectura de seguridad para claves IA</w:t>
      </w:r>
    </w:p>
    <w:p>
      <w:pPr>
        <w:spacing w:after="140"/>
        <w:jc w:val="both"/>
      </w:pPr>
      <w:r>
        <w:rPr>
          <w:rFonts w:ascii="Arial" w:cs="Arial" w:eastAsia="Arial" w:hAnsi="Arial"/>
          <w:sz w:val="22"/>
          <w:szCs w:val="22"/>
        </w:rPr>
        <w:t xml:space="preserve">Las claves de API de OpenAI residen exclusivamente en el backend (variable de entorno OPENAI_API_KEY en Railway). El frontend solo recibe un booleano iaDisponible y los resultados del análisis, nunca la clave directamente.</w:t>
      </w:r>
    </w:p>
    <w:p>
      <w:pPr>
        <w:spacing w:after="80"/>
      </w:pPr>
      <w:r>
        <w:t xml:space="preserve"/>
      </w:r>
    </w:p>
    <w:p>
      <w:pPr>
        <w:pStyle w:val="Heading2"/>
        <w:spacing w:after="160" w:before="300"/>
      </w:pPr>
      <w:r>
        <w:rPr>
          <w:rFonts w:ascii="Arial" w:cs="Arial" w:eastAsia="Arial" w:hAnsi="Arial"/>
          <w:b/>
          <w:bCs/>
          <w:color w:val="1F4E79"/>
          <w:sz w:val="24"/>
          <w:szCs w:val="24"/>
        </w:rPr>
        <w:t xml:space="preserve">4.4 Calidad y Robustez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Mecanismo</w:t>
            </w:r>
          </w:p>
        </w:tc>
        <w:tc>
          <w:tcPr>
            <w:tcW w:type="dxa" w:w="676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Implementación</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Fallback en cascada</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4 niveles: CKAN → XLSX → Caché disco → Datos frontend. El sistema nunca muestra pantalla en blanco</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Timeout adaptativo</w:t>
            </w:r>
          </w:p>
        </w:tc>
        <w:tc>
          <w:tcPr>
            <w:tcW w:type="dxa" w:w="6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60s para API CKAN, 90s para descarga XLSX, con mensajes de error descriptivos en consola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Caché en disco</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Archivos JSON en cache/ con timestamp. Validez de 24 horas, actualización via cron job a medianoche GT</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Reintento automático</w:t>
            </w:r>
          </w:p>
        </w:tc>
        <w:tc>
          <w:tcPr>
            <w:tcW w:type="dxa" w:w="6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Si los datos están en estado 'cargando', el frontend reintenta la conexión cada 5 segundos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Indicadores de estado</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Badge 'En vivo' (verde) / 'Datos locales' (naranja) visible en todo momento en la barra superior</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Manejo de errores IA</w:t>
            </w:r>
          </w:p>
        </w:tc>
        <w:tc>
          <w:tcPr>
            <w:tcW w:type="dxa" w:w="6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Si OpenAI falla, el panel muestra el error sin afectar el resto del dashboard</w:t>
            </w:r>
          </w:p>
        </w:tc>
      </w:tr>
    </w:tbl>
    <w:p>
      <w:pPr>
        <w:spacing w:after="80"/>
      </w:pPr>
      <w:r>
        <w:t xml:space="preserve"/>
      </w:r>
    </w:p>
    <w:p>
      <w:pPr>
        <w:pStyle w:val="Heading2"/>
        <w:spacing w:after="160" w:before="300"/>
      </w:pPr>
      <w:r>
        <w:rPr>
          <w:rFonts w:ascii="Arial" w:cs="Arial" w:eastAsia="Arial" w:hAnsi="Arial"/>
          <w:b/>
          <w:bCs/>
          <w:color w:val="1F4E79"/>
          <w:sz w:val="24"/>
          <w:szCs w:val="24"/>
        </w:rPr>
        <w:t xml:space="preserve">4.5 Despliegue (CI/CD)</w:t>
      </w:r>
    </w:p>
    <w:p>
      <w:pPr>
        <w:spacing w:after="140"/>
        <w:jc w:val="both"/>
      </w:pPr>
      <w:r>
        <w:rPr>
          <w:rFonts w:ascii="Arial" w:cs="Arial" w:eastAsia="Arial" w:hAnsi="Arial"/>
          <w:sz w:val="22"/>
          <w:szCs w:val="22"/>
        </w:rPr>
        <w:t xml:space="preserve">El sistema implementa integración continua mediante la conexión directa entre GitHub y las plataformas de hosting: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Componente</w:t>
            </w:r>
          </w:p>
        </w:tc>
        <w:tc>
          <w:tcPr>
            <w:tcW w:type="dxa" w:w="24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Plataforma</w:t>
            </w:r>
          </w:p>
        </w:tc>
        <w:tc>
          <w:tcPr>
            <w:tcW w:type="dxa" w:w="496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Comportamiento</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Backend Node.js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Railway (railway.app)</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Auto-deploy en ~2 min al hacer git push a rama main. Variables de entorno configuradas en panel web.</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Frontend React</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Vercel (vercel.com)</w:t>
            </w:r>
          </w:p>
        </w:tc>
        <w:tc>
          <w:tcPr>
            <w:tcW w:type="dxa" w:w="4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Auto-build y deploy en ~2 min al hacer git push. Root Directory: dashboard, Framework: Vite.</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Código fuente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GitHub (github.com/Isabel003/cba-dashboard-guatemala)</w:t>
            </w:r>
          </w:p>
        </w:tc>
        <w:tc>
          <w:tcPr>
            <w:tcW w:type="dxa" w:w="4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Repositorio único con ambos proyectos. Un push actualiza automáticamente ambas plataformas.</w:t>
            </w:r>
          </w:p>
        </w:tc>
      </w:tr>
    </w:tbl>
    <w:p>
      <w:pPr>
        <w:spacing w:after="80"/>
      </w:pPr>
      <w:r>
        <w:t xml:space="preserve"/>
      </w:r>
    </w:p>
    <w:p>
      <w:pPr>
        <w:spacing w:after="140"/>
        <w:jc w:val="both"/>
      </w:pPr>
      <w:r>
        <w:rPr>
          <w:rFonts w:ascii="Arial" w:cs="Arial" w:eastAsia="Arial" w:hAnsi="Arial"/>
          <w:sz w:val="22"/>
          <w:szCs w:val="22"/>
        </w:rPr>
        <w:t xml:space="preserve">URLs de producción:</w:t>
      </w:r>
    </w:p>
    <w:p>
      <w:pPr>
        <w:pStyle w:val="ListParagraph"/>
        <w:numPr>
          <w:ilvl w:val="0"/>
          <w:numId w:val="2"/>
        </w:numPr>
        <w:spacing w:after="80"/>
      </w:pPr>
      <w:r>
        <w:rPr>
          <w:rFonts w:ascii="Arial" w:cs="Arial" w:eastAsia="Arial" w:hAnsi="Arial"/>
          <w:sz w:val="22"/>
          <w:szCs w:val="22"/>
        </w:rPr>
        <w:t xml:space="preserve">Frontend: https://cba-dashboard-guatemala.vercel.app</w:t>
      </w:r>
    </w:p>
    <w:p>
      <w:pPr>
        <w:pStyle w:val="ListParagraph"/>
        <w:numPr>
          <w:ilvl w:val="0"/>
          <w:numId w:val="2"/>
        </w:numPr>
        <w:spacing w:after="80"/>
      </w:pPr>
      <w:r>
        <w:rPr>
          <w:rFonts w:ascii="Arial" w:cs="Arial" w:eastAsia="Arial" w:hAnsi="Arial"/>
          <w:sz w:val="22"/>
          <w:szCs w:val="22"/>
        </w:rPr>
        <w:t xml:space="preserve">Backend API: https://cba-dashboard-guatemala-production.up.railway.app/api/v1/status</w:t>
      </w:r>
    </w:p>
    <w:p>
      <w:pPr>
        <w:spacing w:after="80"/>
      </w:pPr>
      <w:r>
        <w:t xml:space="preserve"/>
      </w:r>
    </w:p>
    <w:p>
      <w:pPr>
        <w:pStyle w:val="Heading2"/>
        <w:spacing w:after="160" w:before="300"/>
      </w:pPr>
      <w:r>
        <w:rPr>
          <w:rFonts w:ascii="Arial" w:cs="Arial" w:eastAsia="Arial" w:hAnsi="Arial"/>
          <w:b/>
          <w:bCs/>
          <w:color w:val="1F4E79"/>
          <w:sz w:val="24"/>
          <w:szCs w:val="24"/>
        </w:rPr>
        <w:t xml:space="preserve">4.6 Conclusiones y Trabajo Futuro</w:t>
      </w:r>
    </w:p>
    <w:p>
      <w:pPr>
        <w:spacing w:after="140"/>
        <w:jc w:val="both"/>
      </w:pPr>
      <w:r>
        <w:rPr>
          <w:rFonts w:ascii="Arial" w:cs="Arial" w:eastAsia="Arial" w:hAnsi="Arial"/>
          <w:sz w:val="22"/>
          <w:szCs w:val="22"/>
        </w:rPr>
        <w:t xml:space="preserve">El sistema fue implementado exitosamente cubriendo los 18 requerimientos funcionales y 14 no funcionales definidos en la fase de análisis. Los principales logros técnicos incluyen la integración con la API pública del INE, el sistema de caché resiliente, el módulo de comparación de períodos y la integración con inteligencia artificial.</w:t>
      </w:r>
    </w:p>
    <w:p>
      <w:pPr>
        <w:spacing w:after="140"/>
        <w:jc w:val="both"/>
      </w:pPr>
      <w:r>
        <w:rPr>
          <w:rFonts w:ascii="Arial" w:cs="Arial" w:eastAsia="Arial" w:hAnsi="Arial"/>
          <w:sz w:val="22"/>
          <w:szCs w:val="22"/>
        </w:rPr>
        <w:t xml:space="preserve">Las áreas de trabajo futuro identificadas incluyen:</w:t>
      </w:r>
    </w:p>
    <w:p>
      <w:pPr>
        <w:pStyle w:val="ListParagraph"/>
        <w:numPr>
          <w:ilvl w:val="0"/>
          <w:numId w:val="2"/>
        </w:numPr>
        <w:spacing w:after="80"/>
      </w:pPr>
      <w:r>
        <w:rPr>
          <w:rFonts w:ascii="Arial" w:cs="Arial" w:eastAsia="Arial" w:hAnsi="Arial"/>
          <w:sz w:val="22"/>
          <w:szCs w:val="22"/>
        </w:rPr>
        <w:t xml:space="preserve">Exportación de datos a Excel/PDF desde la tabla de productos y comparador</w:t>
      </w:r>
    </w:p>
    <w:p>
      <w:pPr>
        <w:pStyle w:val="ListParagraph"/>
        <w:numPr>
          <w:ilvl w:val="0"/>
          <w:numId w:val="2"/>
        </w:numPr>
        <w:spacing w:after="80"/>
      </w:pPr>
      <w:r>
        <w:rPr>
          <w:rFonts w:ascii="Arial" w:cs="Arial" w:eastAsia="Arial" w:hAnsi="Arial"/>
          <w:sz w:val="22"/>
          <w:szCs w:val="22"/>
        </w:rPr>
        <w:t xml:space="preserve">Notificaciones automáticas por email cuando el INE publique datos nuevos</w:t>
      </w:r>
    </w:p>
    <w:p>
      <w:pPr>
        <w:pStyle w:val="ListParagraph"/>
        <w:numPr>
          <w:ilvl w:val="0"/>
          <w:numId w:val="2"/>
        </w:numPr>
        <w:spacing w:after="80"/>
      </w:pPr>
      <w:r>
        <w:rPr>
          <w:rFonts w:ascii="Arial" w:cs="Arial" w:eastAsia="Arial" w:hAnsi="Arial"/>
          <w:sz w:val="22"/>
          <w:szCs w:val="22"/>
        </w:rPr>
        <w:t xml:space="preserve">Mapa regional de precios por departamento de Guatemala</w:t>
      </w:r>
    </w:p>
    <w:p>
      <w:pPr>
        <w:pStyle w:val="ListParagraph"/>
        <w:numPr>
          <w:ilvl w:val="0"/>
          <w:numId w:val="2"/>
        </w:numPr>
        <w:spacing w:after="80"/>
      </w:pPr>
      <w:r>
        <w:rPr>
          <w:rFonts w:ascii="Arial" w:cs="Arial" w:eastAsia="Arial" w:hAnsi="Arial"/>
          <w:sz w:val="22"/>
          <w:szCs w:val="22"/>
        </w:rPr>
        <w:t xml:space="preserve">Comparativa CBAU vs CBAR a nivel de producto individual</w:t>
      </w:r>
    </w:p>
    <w:p>
      <w:pPr>
        <w:pStyle w:val="ListParagraph"/>
        <w:numPr>
          <w:ilvl w:val="0"/>
          <w:numId w:val="2"/>
        </w:numPr>
        <w:spacing w:after="80"/>
      </w:pPr>
      <w:r>
        <w:rPr>
          <w:rFonts w:ascii="Arial" w:cs="Arial" w:eastAsia="Arial" w:hAnsi="Arial"/>
          <w:sz w:val="22"/>
          <w:szCs w:val="22"/>
        </w:rPr>
        <w:t xml:space="preserve">Predicción de precios para el siguiente mes mediante modelos de series de tiempo</w:t>
      </w:r>
    </w:p>
    <w:p>
      <w:pPr>
        <w:spacing w:after="80"/>
      </w:pPr>
      <w:r>
        <w:t xml:space="preserve"/>
      </w:r>
    </w:p>
    <w:p>
      <w:r>
        <w:br w:type="page"/>
      </w:r>
    </w:p>
    <w:p>
      <w:pPr>
        <w:pStyle w:val="Heading1"/>
        <w:pBdr>
          <w:bottom w:val="single" w:color="0D6E4E" w:sz="6" w:space="4"/>
        </w:pBdr>
        <w:spacing w:after="200" w:before="400"/>
      </w:pPr>
      <w:r>
        <w:rPr>
          <w:rFonts w:ascii="Arial" w:cs="Arial" w:eastAsia="Arial" w:hAnsi="Arial"/>
          <w:b/>
          <w:bCs/>
          <w:color w:val="0D6E4E"/>
          <w:sz w:val="28"/>
          <w:szCs w:val="28"/>
        </w:rPr>
        <w:t xml:space="preserve">5. Pruebas Unitarias</w:t>
      </w:r>
    </w:p>
    <w:p>
      <w:pPr>
        <w:spacing w:after="140"/>
        <w:jc w:val="both"/>
      </w:pPr>
      <w:r>
        <w:rPr>
          <w:rFonts w:ascii="Arial" w:cs="Arial" w:eastAsia="Arial" w:hAnsi="Arial"/>
          <w:sz w:val="22"/>
          <w:szCs w:val="22"/>
        </w:rPr>
        <w:t xml:space="preserve">Las pruebas unitarias verifican el correcto funcionamiento de cada componente del sistema de forma independiente. Se organizan en pruebas de backend (endpoints REST y lógica de negocio) y pruebas de frontend (componentes React y hook de datos).</w:t>
      </w:r>
    </w:p>
    <w:p>
      <w:pPr>
        <w:spacing w:after="80"/>
      </w:pPr>
      <w:r>
        <w:t xml:space="preserve"/>
      </w:r>
    </w:p>
    <w:p>
      <w:pPr>
        <w:pStyle w:val="Heading2"/>
        <w:spacing w:after="160" w:before="300"/>
      </w:pPr>
      <w:r>
        <w:rPr>
          <w:rFonts w:ascii="Arial" w:cs="Arial" w:eastAsia="Arial" w:hAnsi="Arial"/>
          <w:b/>
          <w:bCs/>
          <w:color w:val="1F4E79"/>
          <w:sz w:val="24"/>
          <w:szCs w:val="24"/>
        </w:rPr>
        <w:t xml:space="preserve">5.1 Pruebas de Backend — Endpoints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2800"/>
        <w:gridCol w:w="2560"/>
        <w:gridCol w:w="1600"/>
      </w:tblGrid>
      <w:tr>
        <w:trPr>
          <w:tblHeader/>
        </w:trPr>
        <w:tc>
          <w:tcPr>
            <w:tcW w:type="dxa" w:w="7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ID</w:t>
            </w:r>
          </w:p>
        </w:tc>
        <w:tc>
          <w:tcPr>
            <w:tcW w:type="dxa" w:w="17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Componente</w:t>
            </w:r>
          </w:p>
        </w:tc>
        <w:tc>
          <w:tcPr>
            <w:tcW w:type="dxa" w:w="28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Caso de prueba</w:t>
            </w:r>
          </w:p>
        </w:tc>
        <w:tc>
          <w:tcPr>
            <w:tcW w:type="dxa" w:w="256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Resultado esperado</w:t>
            </w:r>
          </w:p>
        </w:tc>
        <w:tc>
          <w:tcPr>
            <w:tcW w:type="dxa" w:w="16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Estado</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PU-01</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GET /status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Solicitar estado con backend iniciado correctamente</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HTTP 200, ok:true, periodos[] con mínimo 10 elementos, iaDisponible:true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Aprobado</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PU-02</w:t>
            </w:r>
          </w:p>
        </w:tc>
        <w:tc>
          <w:tcPr>
            <w:tcW w:type="dxa" w:w="1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GET /canasta/resumen</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Solicitar resumen con datos INE cargados</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HTTP 200, cbauPerCapita &gt; 900, cbarPerCapita &gt; 600, brechaUrbanoRural calculada correctamente</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Aprobado</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PU-03</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GET /canasta/historico</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Obtener histórico completo</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Array con mínimo 28 registros, cada uno con campos: periodo, cbau, cbar, brecha</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Aprobado</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PU-04</w:t>
            </w:r>
          </w:p>
        </w:tc>
        <w:tc>
          <w:tcPr>
            <w:tcW w:type="dxa" w:w="1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GET /productos</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Obtener productos sin filtros</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HTTP 200, total = 66, ultimoPeriodo = 'Abril 2026', variacionPct calculada en cada producto</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Aprobado</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PU-05</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GET /productos?periodo=Enero 2025</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Obtener productos de período específico</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HTTP 200, todos los registros con periodo = 'Enero 2025', 66 productos</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Aprobado</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PU-06</w:t>
            </w:r>
          </w:p>
        </w:tc>
        <w:tc>
          <w:tcPr>
            <w:tcW w:type="dxa" w:w="1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GET /variaciones</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Obtener ranking de variaciones</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Array ordenado por variacionPct descendente, sin valores nulos en productos con datos completos</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Aprobado</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PU-07</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GET /categorias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Obtener grupos alimenticios</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9 grupos con costoTotal calculado solo del último período. Carnes aprox. Q34, no Q6,792</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Aprobado</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PU-08</w:t>
            </w:r>
          </w:p>
        </w:tc>
        <w:tc>
          <w:tcPr>
            <w:tcW w:type="dxa" w:w="1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GET /admin/refresh sin token</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Solicitar refresh sin cabecera Authorization</w:t>
            </w:r>
          </w:p>
        </w:tc>
        <w:tc>
          <w:tcPr>
            <w:tcW w:type="dxa" w:w="2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HTTP 403 Forbidden con mensaje de error descriptivo</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Aprobado</w:t>
            </w:r>
          </w:p>
        </w:tc>
      </w:tr>
    </w:tbl>
    <w:p>
      <w:pPr>
        <w:spacing w:after="80"/>
      </w:pPr>
      <w:r>
        <w:t xml:space="preserve"/>
      </w:r>
    </w:p>
    <w:p>
      <w:pPr>
        <w:pStyle w:val="Heading2"/>
        <w:spacing w:after="160" w:before="300"/>
      </w:pPr>
      <w:r>
        <w:rPr>
          <w:rFonts w:ascii="Arial" w:cs="Arial" w:eastAsia="Arial" w:hAnsi="Arial"/>
          <w:b/>
          <w:bCs/>
          <w:color w:val="1F4E79"/>
          <w:sz w:val="24"/>
          <w:szCs w:val="24"/>
        </w:rPr>
        <w:t xml:space="preserve">5.2 Pruebas de Lógica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000"/>
        <w:gridCol w:w="2360"/>
        <w:gridCol w:w="1300"/>
      </w:tblGrid>
      <w:tr>
        <w:trPr>
          <w:tblHeader/>
        </w:trPr>
        <w:tc>
          <w:tcPr>
            <w:tcW w:type="dxa" w:w="7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ID</w:t>
            </w:r>
          </w:p>
        </w:tc>
        <w:tc>
          <w:tcPr>
            <w:tcW w:type="dxa" w:w="20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Función</w:t>
            </w:r>
          </w:p>
        </w:tc>
        <w:tc>
          <w:tcPr>
            <w:tcW w:type="dxa" w:w="30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Caso de prueba</w:t>
            </w:r>
          </w:p>
        </w:tc>
        <w:tc>
          <w:tcPr>
            <w:tcW w:type="dxa" w:w="236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Resultado esperado</w:t>
            </w:r>
          </w:p>
        </w:tc>
        <w:tc>
          <w:tcPr>
            <w:tcW w:type="dxa" w:w="13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Estado</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PU-09</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sortPer()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Ordenar: ['Abril 2024', 'Enero 2024', 'Marzo 2026', 'Diciembre 2024']</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['Enero 2024', 'Abril 2024', 'Diciembre 2024', 'Marzo 2026']</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Aprobado</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PU-10</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sortPer()</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Verificar que 'Septiembre 2024' &lt; 'Octubre 2024'</w:t>
            </w:r>
          </w:p>
        </w:tc>
        <w:tc>
          <w:tcPr>
            <w:tcW w:type="dxa" w:w="2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sortPer('Septiembre 2024') &lt; sortPer('Octubre 2024')</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Aprobado</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PU-11</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getGrupo()</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Asignar grupo a 'Arroz corriente'</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Retorna: 'Cereales y derivados'</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Aprobado</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PU-12</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getGrupo()</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Asignar grupo a 'Carne de res molida'</w:t>
            </w:r>
          </w:p>
        </w:tc>
        <w:tc>
          <w:tcPr>
            <w:tcW w:type="dxa" w:w="2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Retorna: 'Carnes'</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Aprobado</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PU-13</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Cálculo variación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precioActual=12, precioAnterior=10</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variacionPct = 20.00%</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Aprobado</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PU-14</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getCategorias()</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Verificar que solo suma el último período</w:t>
            </w:r>
          </w:p>
        </w:tc>
        <w:tc>
          <w:tcPr>
            <w:tcW w:type="dxa" w:w="2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costoTotal de Carnes aprox. Q34, no acumulado histórico</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Aprobado</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PU-15</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parseCKANPercapita()</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Parsear resultado CKAN con columnas reales del INE</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Array con periodo='Enero 2024', costoMensual correcto según dato del INE</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Aprobado</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PU-16</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Caché en disco</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Reiniciar backend con caché JSON válido (&lt; 24h)</w:t>
            </w:r>
          </w:p>
        </w:tc>
        <w:tc>
          <w:tcPr>
            <w:tcW w:type="dxa" w:w="2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Servidor carga datos del JSON local sin llamar a la API del INE</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Aprobado</w:t>
            </w:r>
          </w:p>
        </w:tc>
      </w:tr>
    </w:tbl>
    <w:p>
      <w:pPr>
        <w:spacing w:after="80"/>
      </w:pPr>
      <w:r>
        <w:t xml:space="preserve"/>
      </w:r>
    </w:p>
    <w:p>
      <w:pPr>
        <w:pStyle w:val="Heading2"/>
        <w:spacing w:after="160" w:before="300"/>
      </w:pPr>
      <w:r>
        <w:rPr>
          <w:rFonts w:ascii="Arial" w:cs="Arial" w:eastAsia="Arial" w:hAnsi="Arial"/>
          <w:b/>
          <w:bCs/>
          <w:color w:val="1F4E79"/>
          <w:sz w:val="24"/>
          <w:szCs w:val="24"/>
        </w:rPr>
        <w:t xml:space="preserve">5.3 Pruebas de Frontend — Componentes 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000"/>
        <w:gridCol w:w="2360"/>
        <w:gridCol w:w="1300"/>
      </w:tblGrid>
      <w:tr>
        <w:trPr>
          <w:tblHeader/>
        </w:trPr>
        <w:tc>
          <w:tcPr>
            <w:tcW w:type="dxa" w:w="7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ID</w:t>
            </w:r>
          </w:p>
        </w:tc>
        <w:tc>
          <w:tcPr>
            <w:tcW w:type="dxa" w:w="20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Componente</w:t>
            </w:r>
          </w:p>
        </w:tc>
        <w:tc>
          <w:tcPr>
            <w:tcW w:type="dxa" w:w="30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Caso de prueba</w:t>
            </w:r>
          </w:p>
        </w:tc>
        <w:tc>
          <w:tcPr>
            <w:tcW w:type="dxa" w:w="236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Resultado esperado</w:t>
            </w:r>
          </w:p>
        </w:tc>
        <w:tc>
          <w:tcPr>
            <w:tcW w:type="dxa" w:w="13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Estado</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PU-17</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useINEApi — connect()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Llamar a connect() con backend activo en Railway</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status='live', productos.length=66, periodoSel='Abril 2026', iaKeyOk=true</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Aprobado</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PU-18</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useINEApi — connect()</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Llamar a connect() con backend inactivo</w:t>
            </w:r>
          </w:p>
        </w:tc>
        <w:tc>
          <w:tcPr>
            <w:tcW w:type="dxa" w:w="2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status='fallback', productos = FB_PRODUCTOS (datos locales), badge naranja visible</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Aprobado</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PU-19</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ProductosPage — búsqueda</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Escribir 'tomate' en buscador</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Tabla filtra y muestra solo productos con 'tomate' en el nombre</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Aprobado</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PU-20</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ProductosPage — filtro</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Seleccionar categoría 'Carnes' en el select</w:t>
            </w:r>
          </w:p>
        </w:tc>
        <w:tc>
          <w:tcPr>
            <w:tcW w:type="dxa" w:w="2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Tabla muestra únicamente productos del grupo 'Carnes'</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Aprobado</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PU-21</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ProductosPage — período</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Seleccionar 'Enero 2024' en el selector</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Tabla recarga con precios de Enero 2024, cabecera actualiza a ese período</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Aprobado</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PU-22</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ChangeBadge</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Renderizar con value=20</w:t>
            </w:r>
          </w:p>
        </w:tc>
        <w:tc>
          <w:tcPr>
            <w:tcW w:type="dxa" w:w="2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Badge rojo con ↑ y texto '20.00%'</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PU-23</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ChangeBadge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Renderizar con value=-5.3</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Badge verde con ↓ y texto '5.30%'</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Aprobado</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PU-24</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IAPanel</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Conectar con iaKeyOk=true</w:t>
            </w:r>
          </w:p>
        </w:tc>
        <w:tc>
          <w:tcPr>
            <w:tcW w:type="dxa" w:w="2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Panel inicia carga automática, muestra spinner, luego muestra análisis con 3 secciones</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Aprobado</w:t>
            </w:r>
          </w:p>
        </w:tc>
      </w:tr>
    </w:tbl>
    <w:p>
      <w:pPr>
        <w:spacing w:after="80"/>
      </w:pPr>
      <w:r>
        <w:t xml:space="preserve"/>
      </w:r>
    </w:p>
    <w:p>
      <w:pPr>
        <w:pStyle w:val="Heading2"/>
        <w:spacing w:after="160" w:before="300"/>
      </w:pPr>
      <w:r>
        <w:rPr>
          <w:rFonts w:ascii="Arial" w:cs="Arial" w:eastAsia="Arial" w:hAnsi="Arial"/>
          <w:b/>
          <w:bCs/>
          <w:color w:val="1F4E79"/>
          <w:sz w:val="24"/>
          <w:szCs w:val="24"/>
        </w:rPr>
        <w:t xml:space="preserve">5.4 Resumen de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786"/>
        <w:gridCol w:w="1786"/>
        <w:gridCol w:w="1788"/>
      </w:tblGrid>
      <w:tr>
        <w:trPr>
          <w:tblHeader/>
        </w:trPr>
        <w:tc>
          <w:tcPr>
            <w:tcW w:type="dxa" w:w="40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Categoría</w:t>
            </w:r>
          </w:p>
        </w:tc>
        <w:tc>
          <w:tcPr>
            <w:tcW w:type="dxa" w:w="1786"/>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Total</w:t>
            </w:r>
          </w:p>
        </w:tc>
        <w:tc>
          <w:tcPr>
            <w:tcW w:type="dxa" w:w="1786"/>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Aprobadas</w:t>
            </w:r>
          </w:p>
        </w:tc>
        <w:tc>
          <w:tcPr>
            <w:tcW w:type="dxa" w:w="1788"/>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Fallidas</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Pruebas de endpoints REST (PU-01 a PU-08)</w:t>
            </w:r>
          </w:p>
        </w:tc>
        <w:tc>
          <w:tcPr>
            <w:tcW w:type="dxa" w:w="17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8</w:t>
            </w:r>
          </w:p>
        </w:tc>
        <w:tc>
          <w:tcPr>
            <w:tcW w:type="dxa" w:w="17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8</w:t>
            </w:r>
          </w:p>
        </w:tc>
        <w:tc>
          <w:tcPr>
            <w:tcW w:type="dxa" w:w="1788"/>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0</w:t>
            </w:r>
          </w:p>
        </w:tc>
      </w:tr>
      <w:tr>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Pruebas de lógica de negocio (PU-09 a PU-16)</w:t>
            </w:r>
          </w:p>
        </w:tc>
        <w:tc>
          <w:tcPr>
            <w:tcW w:type="dxa" w:w="178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8</w:t>
            </w:r>
          </w:p>
        </w:tc>
        <w:tc>
          <w:tcPr>
            <w:tcW w:type="dxa" w:w="178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8</w:t>
            </w:r>
          </w:p>
        </w:tc>
        <w:tc>
          <w:tcPr>
            <w:tcW w:type="dxa" w:w="1788"/>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0</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Pruebas de componentes React (PU-17 a PU-24)</w:t>
            </w:r>
          </w:p>
        </w:tc>
        <w:tc>
          <w:tcPr>
            <w:tcW w:type="dxa" w:w="17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8</w:t>
            </w:r>
          </w:p>
        </w:tc>
        <w:tc>
          <w:tcPr>
            <w:tcW w:type="dxa" w:w="17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8</w:t>
            </w:r>
          </w:p>
        </w:tc>
        <w:tc>
          <w:tcPr>
            <w:tcW w:type="dxa" w:w="1788"/>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0</w:t>
            </w:r>
          </w:p>
        </w:tc>
      </w:tr>
      <w:tr>
        <w:tc>
          <w:tcPr>
            <w:tcW w:type="dxa" w:w="40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TOTAL</w:t>
            </w:r>
          </w:p>
        </w:tc>
        <w:tc>
          <w:tcPr>
            <w:tcW w:type="dxa" w:w="1786"/>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center"/>
            </w:pPr>
            <w:r>
              <w:rPr>
                <w:rFonts w:ascii="Arial" w:cs="Arial" w:eastAsia="Arial" w:hAnsi="Arial"/>
                <w:b/>
                <w:bCs/>
                <w:color w:val="0A3D2E"/>
                <w:sz w:val="20"/>
                <w:szCs w:val="20"/>
              </w:rPr>
              <w:t xml:space="preserve">24</w:t>
            </w:r>
          </w:p>
        </w:tc>
        <w:tc>
          <w:tcPr>
            <w:tcW w:type="dxa" w:w="178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jc w:val="center"/>
            </w:pPr>
            <w:r>
              <w:rPr>
                <w:rFonts w:ascii="Arial" w:cs="Arial" w:eastAsia="Arial" w:hAnsi="Arial"/>
                <w:b/>
                <w:bCs/>
                <w:color w:val="0A3D2E"/>
                <w:sz w:val="20"/>
                <w:szCs w:val="20"/>
              </w:rPr>
              <w:t xml:space="preserve">24</w:t>
            </w:r>
          </w:p>
        </w:tc>
        <w:tc>
          <w:tcPr>
            <w:tcW w:type="dxa" w:w="1788"/>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center"/>
            </w:pPr>
            <w:r>
              <w:rPr>
                <w:rFonts w:ascii="Arial" w:cs="Arial" w:eastAsia="Arial" w:hAnsi="Arial"/>
                <w:b/>
                <w:bCs/>
                <w:color w:val="0A3D2E"/>
                <w:sz w:val="20"/>
                <w:szCs w:val="20"/>
              </w:rPr>
              <w:t xml:space="preserve">0</w:t>
            </w:r>
          </w:p>
        </w:tc>
      </w:tr>
    </w:tbl>
    <w:p>
      <w:pPr>
        <w:spacing w:after="80"/>
      </w:pPr>
      <w:r>
        <w:t xml:space="preserve"/>
      </w:r>
    </w:p>
    <w:p>
      <w:r>
        <w:br w:type="page"/>
      </w:r>
    </w:p>
    <w:p>
      <w:pPr>
        <w:pStyle w:val="Heading1"/>
        <w:pBdr>
          <w:bottom w:val="single" w:color="0D6E4E" w:sz="6" w:space="4"/>
        </w:pBdr>
        <w:spacing w:after="200" w:before="400"/>
      </w:pPr>
      <w:r>
        <w:rPr>
          <w:rFonts w:ascii="Arial" w:cs="Arial" w:eastAsia="Arial" w:hAnsi="Arial"/>
          <w:b/>
          <w:bCs/>
          <w:color w:val="0D6E4E"/>
          <w:sz w:val="28"/>
          <w:szCs w:val="28"/>
        </w:rPr>
        <w:t xml:space="preserve">6. Pruebas UAT (Pruebas de Aceptación de Usuario)</w:t>
      </w:r>
    </w:p>
    <w:p>
      <w:pPr>
        <w:spacing w:after="140"/>
        <w:jc w:val="both"/>
      </w:pPr>
      <w:r>
        <w:rPr>
          <w:rFonts w:ascii="Arial" w:cs="Arial" w:eastAsia="Arial" w:hAnsi="Arial"/>
          <w:sz w:val="22"/>
          <w:szCs w:val="22"/>
        </w:rPr>
        <w:t xml:space="preserve">Las Pruebas de Aceptación de Usuario (UAT) verifican que el sistema cumple con los requerimientos del negocio desde la perspectiva del usuario final, validando que la solución resuelve efectivamente el problema planteado.</w:t>
      </w:r>
    </w:p>
    <w:p>
      <w:pPr>
        <w:spacing w:after="80"/>
      </w:pPr>
      <w:r>
        <w:t xml:space="preserve"/>
      </w:r>
    </w:p>
    <w:p>
      <w:pPr>
        <w:pStyle w:val="Heading2"/>
        <w:spacing w:after="160" w:before="300"/>
      </w:pPr>
      <w:r>
        <w:rPr>
          <w:rFonts w:ascii="Arial" w:cs="Arial" w:eastAsia="Arial" w:hAnsi="Arial"/>
          <w:b/>
          <w:bCs/>
          <w:color w:val="1F4E79"/>
          <w:sz w:val="24"/>
          <w:szCs w:val="24"/>
        </w:rPr>
        <w:t xml:space="preserve">6.1 Criterios de Aceptación</w:t>
      </w:r>
    </w:p>
    <w:p>
      <w:pPr>
        <w:pStyle w:val="ListParagraph"/>
        <w:numPr>
          <w:ilvl w:val="0"/>
          <w:numId w:val="2"/>
        </w:numPr>
        <w:spacing w:after="80"/>
      </w:pPr>
      <w:r>
        <w:rPr>
          <w:rFonts w:ascii="Arial" w:cs="Arial" w:eastAsia="Arial" w:hAnsi="Arial"/>
          <w:sz w:val="22"/>
          <w:szCs w:val="22"/>
        </w:rPr>
        <w:t xml:space="preserve">El sistema debe conectarse exitosamente a los datos y mostrar el badge 'En vivo' en verde.</w:t>
      </w:r>
    </w:p>
    <w:p>
      <w:pPr>
        <w:pStyle w:val="ListParagraph"/>
        <w:numPr>
          <w:ilvl w:val="0"/>
          <w:numId w:val="2"/>
        </w:numPr>
        <w:spacing w:after="80"/>
      </w:pPr>
      <w:r>
        <w:rPr>
          <w:rFonts w:ascii="Arial" w:cs="Arial" w:eastAsia="Arial" w:hAnsi="Arial"/>
          <w:sz w:val="22"/>
          <w:szCs w:val="22"/>
        </w:rPr>
        <w:t xml:space="preserve">Los valores KPI mostrados deben coincidir con los publicados oficialmente por el INE para el período vigente.</w:t>
      </w:r>
    </w:p>
    <w:p>
      <w:pPr>
        <w:pStyle w:val="ListParagraph"/>
        <w:numPr>
          <w:ilvl w:val="0"/>
          <w:numId w:val="2"/>
        </w:numPr>
        <w:spacing w:after="80"/>
      </w:pPr>
      <w:r>
        <w:rPr>
          <w:rFonts w:ascii="Arial" w:cs="Arial" w:eastAsia="Arial" w:hAnsi="Arial"/>
          <w:sz w:val="22"/>
          <w:szCs w:val="22"/>
        </w:rPr>
        <w:t xml:space="preserve">La tabla de productos debe mostrar exactamente 66 productos con grupos alimenticios correctamente asignados.</w:t>
      </w:r>
    </w:p>
    <w:p>
      <w:pPr>
        <w:pStyle w:val="ListParagraph"/>
        <w:numPr>
          <w:ilvl w:val="0"/>
          <w:numId w:val="2"/>
        </w:numPr>
        <w:spacing w:after="80"/>
      </w:pPr>
      <w:r>
        <w:rPr>
          <w:rFonts w:ascii="Arial" w:cs="Arial" w:eastAsia="Arial" w:hAnsi="Arial"/>
          <w:sz w:val="22"/>
          <w:szCs w:val="22"/>
        </w:rPr>
        <w:t xml:space="preserve">El filtro de período debe permitir visualizar datos de cualquier mes desde Enero 2024 hasta el presente.</w:t>
      </w:r>
    </w:p>
    <w:p>
      <w:pPr>
        <w:pStyle w:val="ListParagraph"/>
        <w:numPr>
          <w:ilvl w:val="0"/>
          <w:numId w:val="2"/>
        </w:numPr>
        <w:spacing w:after="80"/>
      </w:pPr>
      <w:r>
        <w:rPr>
          <w:rFonts w:ascii="Arial" w:cs="Arial" w:eastAsia="Arial" w:hAnsi="Arial"/>
          <w:sz w:val="22"/>
          <w:szCs w:val="22"/>
        </w:rPr>
        <w:t xml:space="preserve">Las variaciones mensuales deben calcularse correctamente como porcentaje respecto al mes anterior.</w:t>
      </w:r>
    </w:p>
    <w:p>
      <w:pPr>
        <w:pStyle w:val="ListParagraph"/>
        <w:numPr>
          <w:ilvl w:val="0"/>
          <w:numId w:val="2"/>
        </w:numPr>
        <w:spacing w:after="80"/>
      </w:pPr>
      <w:r>
        <w:rPr>
          <w:rFonts w:ascii="Arial" w:cs="Arial" w:eastAsia="Arial" w:hAnsi="Arial"/>
          <w:sz w:val="22"/>
          <w:szCs w:val="22"/>
        </w:rPr>
        <w:t xml:space="preserve">El comparador debe mostrar diferencias correctas entre dos períodos seleccionados.</w:t>
      </w:r>
    </w:p>
    <w:p>
      <w:pPr>
        <w:pStyle w:val="ListParagraph"/>
        <w:numPr>
          <w:ilvl w:val="0"/>
          <w:numId w:val="2"/>
        </w:numPr>
        <w:spacing w:after="80"/>
      </w:pPr>
      <w:r>
        <w:rPr>
          <w:rFonts w:ascii="Arial" w:cs="Arial" w:eastAsia="Arial" w:hAnsi="Arial"/>
          <w:sz w:val="22"/>
          <w:szCs w:val="22"/>
        </w:rPr>
        <w:t xml:space="preserve">La IA debe generar análisis coherentes y contextualizados para Guatemala en menos de 10 segundos.</w:t>
      </w:r>
    </w:p>
    <w:p>
      <w:pPr>
        <w:pStyle w:val="ListParagraph"/>
        <w:numPr>
          <w:ilvl w:val="0"/>
          <w:numId w:val="2"/>
        </w:numPr>
        <w:spacing w:after="80"/>
      </w:pPr>
      <w:r>
        <w:rPr>
          <w:rFonts w:ascii="Arial" w:cs="Arial" w:eastAsia="Arial" w:hAnsi="Arial"/>
          <w:sz w:val="22"/>
          <w:szCs w:val="22"/>
        </w:rPr>
        <w:t xml:space="preserve">El sistema debe funcionar en modo fallback cuando el backend no está disponible.</w:t>
      </w:r>
    </w:p>
    <w:p>
      <w:pPr>
        <w:spacing w:after="80"/>
      </w:pPr>
      <w:r>
        <w:t xml:space="preserve"/>
      </w:r>
    </w:p>
    <w:p>
      <w:pPr>
        <w:pStyle w:val="Heading2"/>
        <w:spacing w:after="160" w:before="300"/>
      </w:pPr>
      <w:r>
        <w:rPr>
          <w:rFonts w:ascii="Arial" w:cs="Arial" w:eastAsia="Arial" w:hAnsi="Arial"/>
          <w:b/>
          <w:bCs/>
          <w:color w:val="1F4E79"/>
          <w:sz w:val="24"/>
          <w:szCs w:val="24"/>
        </w:rPr>
        <w:t xml:space="preserve">6.2 Plan de Pruebas UAT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800"/>
        <w:gridCol w:w="2360"/>
        <w:gridCol w:w="1300"/>
      </w:tblGrid>
      <w:tr>
        <w:trPr>
          <w:tblHeader/>
        </w:trPr>
        <w:tc>
          <w:tcPr>
            <w:tcW w:type="dxa" w:w="7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ID</w:t>
            </w:r>
          </w:p>
        </w:tc>
        <w:tc>
          <w:tcPr>
            <w:tcW w:type="dxa" w:w="22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Escenario</w:t>
            </w:r>
          </w:p>
        </w:tc>
        <w:tc>
          <w:tcPr>
            <w:tcW w:type="dxa" w:w="28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Pasos</w:t>
            </w:r>
          </w:p>
        </w:tc>
        <w:tc>
          <w:tcPr>
            <w:tcW w:type="dxa" w:w="236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Criterio de éxito</w:t>
            </w:r>
          </w:p>
        </w:tc>
        <w:tc>
          <w:tcPr>
            <w:tcW w:type="dxa" w:w="13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Resultado</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UAT-01</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Conexión al sistema en vivo</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 Abrir https://cba-dashboard-guatemala.vercel.app 2. Presionar Conectar 3. Esperar carga</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Badge 'En vivo' verde visible, KPIs muestran valores reales del INE sin errores en consola</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Aprobado</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UAT-02</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Verificación de datos con fuente INE</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 Anotar valor CBAU del dashboard 2. Verificar en datos.ine.gob.gt el mismo período</w:t>
            </w:r>
          </w:p>
        </w:tc>
        <w:tc>
          <w:tcPr>
            <w:tcW w:type="dxa" w:w="2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 valor del sistema coincide con el publicado por el INE (±Q0.01 por redondeo)</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Aprobado</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UAT-03</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Navegación entre módulos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 Hacer clic en cada módulo del sidebar 2. Verificar carga completa sin errores</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Los 5 módulos cargan correctamente mostrando su contenido específico</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Aprobado</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UAT-04</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Filtro de período histórico</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 Ir a Productos 2. Seleccionar 'Enero 2024' 3. Verificar que la tabla actualiza</w:t>
            </w:r>
          </w:p>
        </w:tc>
        <w:tc>
          <w:tcPr>
            <w:tcW w:type="dxa" w:w="2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Tabla muestra 66 productos con precios de Enero 2024, selector muestra ese período</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Aprobado</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UAT-05</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Búsqueda de producto</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 Escribir 'café' en el buscador de Productos 2. Verificar resultados filtrados</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Solo aparecen productos que contienen 'café' (Café molido, Café instantáneo)</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Aprobado</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UAT-06</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Comparador de períodos</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 Ir a Comparador 2. Seleccionar Enero 2026 y Abril 2026 3. Presionar Comparar</w:t>
            </w:r>
          </w:p>
        </w:tc>
        <w:tc>
          <w:tcPr>
            <w:tcW w:type="dxa" w:w="2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Tabla muestra 66 productos con precio en ambos meses, diferencia Q y variación % correctos</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Aprobado</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UAT-07</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Análisis IA automático</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 Conectar al sistema 2. Ir a Panel General 3. Esperar que el panel IA cargue solo</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En menos de 10 segundos aparece análisis con semáforo, situación, alerta y consejo para Guatemala</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Aprobado</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UAT-08</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Análisis IA por producto</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 Ir a Productos 2. Clic en 'Limones y limas frescas' 3. Presionar 'Analizar con IA'</w:t>
            </w:r>
          </w:p>
        </w:tc>
        <w:tc>
          <w:tcPr>
            <w:tcW w:type="dxa" w:w="2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Modal muestra análisis con tendencia, riesgo y proyección específicos para ese producto</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Aprobado</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UAT-09</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Modo offline (fallback)</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 Backend apagado 2. Recargar dashboard 3. Verificar comportamiento</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Badge 'Datos locales' naranja visible, módulos muestran datos de respaldo, sin pantalla en blanco</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Aprobado</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UAT-10</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Reporte ejecutivo IA</w:t>
            </w:r>
          </w:p>
        </w:tc>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1. Ir a Reporte IA 2. Presionar 'Generar reporte con IA' 3. Descargar archivo</w:t>
            </w:r>
          </w:p>
        </w:tc>
        <w:tc>
          <w:tcPr>
            <w:tcW w:type="dxa" w:w="2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Reporte generado en menos de 30s con 7 secciones narrativas, archivo TXT descargado correctamente</w:t>
            </w:r>
          </w:p>
        </w:tc>
        <w:tc>
          <w:tcPr>
            <w:tcW w:type="dxa" w:w="13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Aprobado</w:t>
            </w:r>
          </w:p>
        </w:tc>
      </w:tr>
    </w:tbl>
    <w:p>
      <w:pPr>
        <w:spacing w:after="80"/>
      </w:pPr>
      <w:r>
        <w:t xml:space="preserve"/>
      </w:r>
    </w:p>
    <w:p>
      <w:pPr>
        <w:pStyle w:val="Heading2"/>
        <w:spacing w:after="160" w:before="300"/>
      </w:pPr>
      <w:r>
        <w:rPr>
          <w:rFonts w:ascii="Arial" w:cs="Arial" w:eastAsia="Arial" w:hAnsi="Arial"/>
          <w:b/>
          <w:bCs/>
          <w:color w:val="1F4E79"/>
          <w:sz w:val="24"/>
          <w:szCs w:val="24"/>
        </w:rPr>
        <w:t xml:space="preserve">6.3 Resumen de Resultados UAT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786"/>
        <w:gridCol w:w="1786"/>
        <w:gridCol w:w="1788"/>
      </w:tblGrid>
      <w:tr>
        <w:trPr>
          <w:tblHeader/>
        </w:trPr>
        <w:tc>
          <w:tcPr>
            <w:tcW w:type="dxa" w:w="40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Categoría</w:t>
            </w:r>
          </w:p>
        </w:tc>
        <w:tc>
          <w:tcPr>
            <w:tcW w:type="dxa" w:w="1786"/>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Total</w:t>
            </w:r>
          </w:p>
        </w:tc>
        <w:tc>
          <w:tcPr>
            <w:tcW w:type="dxa" w:w="1786"/>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Aprobados</w:t>
            </w:r>
          </w:p>
        </w:tc>
        <w:tc>
          <w:tcPr>
            <w:tcW w:type="dxa" w:w="1788"/>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Pendientes</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Funcionalidades core (UAT-01 a UAT-06)</w:t>
            </w:r>
          </w:p>
        </w:tc>
        <w:tc>
          <w:tcPr>
            <w:tcW w:type="dxa" w:w="17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6</w:t>
            </w:r>
          </w:p>
        </w:tc>
        <w:tc>
          <w:tcPr>
            <w:tcW w:type="dxa" w:w="178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6</w:t>
            </w:r>
          </w:p>
        </w:tc>
        <w:tc>
          <w:tcPr>
            <w:tcW w:type="dxa" w:w="1788"/>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0</w:t>
            </w:r>
          </w:p>
        </w:tc>
      </w:tr>
      <w:tr>
        <w:tc>
          <w:tcPr>
            <w:tcW w:type="dxa" w:w="4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Funcionalidades IA (UAT-07 a UAT-10)</w:t>
            </w:r>
          </w:p>
        </w:tc>
        <w:tc>
          <w:tcPr>
            <w:tcW w:type="dxa" w:w="178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4</w:t>
            </w:r>
          </w:p>
        </w:tc>
        <w:tc>
          <w:tcPr>
            <w:tcW w:type="dxa" w:w="178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4</w:t>
            </w:r>
          </w:p>
        </w:tc>
        <w:tc>
          <w:tcPr>
            <w:tcW w:type="dxa" w:w="1788"/>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0</w:t>
            </w:r>
          </w:p>
        </w:tc>
      </w:tr>
      <w:tr>
        <w:tc>
          <w:tcPr>
            <w:tcW w:type="dxa" w:w="4000"/>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left"/>
            </w:pPr>
            <w:r>
              <w:rPr>
                <w:rFonts w:ascii="Arial" w:cs="Arial" w:eastAsia="Arial" w:hAnsi="Arial"/>
                <w:b/>
                <w:bCs/>
                <w:color w:val="0A3D2E"/>
                <w:sz w:val="20"/>
                <w:szCs w:val="20"/>
              </w:rPr>
              <w:t xml:space="preserve">TOTAL</w:t>
            </w:r>
          </w:p>
        </w:tc>
        <w:tc>
          <w:tcPr>
            <w:tcW w:type="dxa" w:w="1786"/>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center"/>
            </w:pPr>
            <w:r>
              <w:rPr>
                <w:rFonts w:ascii="Arial" w:cs="Arial" w:eastAsia="Arial" w:hAnsi="Arial"/>
                <w:b/>
                <w:bCs/>
                <w:color w:val="0A3D2E"/>
                <w:sz w:val="20"/>
                <w:szCs w:val="20"/>
              </w:rPr>
              <w:t xml:space="preserve">10</w:t>
            </w:r>
          </w:p>
        </w:tc>
        <w:tc>
          <w:tcPr>
            <w:tcW w:type="dxa" w:w="1786"/>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pPr>
              <w:jc w:val="center"/>
            </w:pPr>
            <w:r>
              <w:rPr>
                <w:rFonts w:ascii="Arial" w:cs="Arial" w:eastAsia="Arial" w:hAnsi="Arial"/>
                <w:b/>
                <w:bCs/>
                <w:color w:val="0A3D2E"/>
                <w:sz w:val="20"/>
                <w:szCs w:val="20"/>
              </w:rPr>
              <w:t xml:space="preserve">10</w:t>
            </w:r>
          </w:p>
        </w:tc>
        <w:tc>
          <w:tcPr>
            <w:tcW w:type="dxa" w:w="1788"/>
            <w:tcBorders>
              <w:top w:val="single" w:color="CCCCCC" w:sz="4"/>
              <w:left w:val="single" w:color="CCCCCC" w:sz="4"/>
              <w:bottom w:val="single" w:color="CCCCCC" w:sz="4"/>
              <w:right w:val="single" w:color="CCCCCC" w:sz="4"/>
            </w:tcBorders>
            <w:shd w:fill="E8F5F0" w:val="clear"/>
            <w:tcMar>
              <w:top w:type="dxa" w:w="80"/>
              <w:left w:type="dxa" w:w="120"/>
              <w:bottom w:type="dxa" w:w="80"/>
              <w:right w:type="dxa" w:w="120"/>
            </w:tcMar>
            <w:vAlign w:val="center"/>
          </w:tcPr>
          <w:p>
            <w:pPr>
              <w:jc w:val="center"/>
            </w:pPr>
            <w:r>
              <w:rPr>
                <w:rFonts w:ascii="Arial" w:cs="Arial" w:eastAsia="Arial" w:hAnsi="Arial"/>
                <w:b/>
                <w:bCs/>
                <w:color w:val="0A3D2E"/>
                <w:sz w:val="20"/>
                <w:szCs w:val="20"/>
              </w:rPr>
              <w:t xml:space="preserve">0</w:t>
            </w:r>
          </w:p>
        </w:tc>
      </w:tr>
    </w:tbl>
    <w:p>
      <w:pPr>
        <w:spacing w:after="80"/>
      </w:pPr>
      <w:r>
        <w:t xml:space="preserve"/>
      </w:r>
    </w:p>
    <w:p>
      <w:pPr>
        <w:spacing w:after="140"/>
        <w:jc w:val="both"/>
      </w:pPr>
      <w:r>
        <w:rPr>
          <w:rFonts w:ascii="Arial" w:cs="Arial" w:eastAsia="Arial" w:hAnsi="Arial"/>
          <w:sz w:val="22"/>
          <w:szCs w:val="22"/>
        </w:rPr>
        <w:t xml:space="preserve">El 100% de los casos de prueba de aceptación fueron aprobados exitosamente, validando que el sistema CBA Dashboard cumple con todos los requerimientos del negocio y está listo para su uso en producción como herramienta de análisis de la Canasta Básica Alimentaria de Guatemala.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Universidad Mariano Gálvez · Facultad de Ingeniería en SI · Página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rFonts w:ascii="Arial" w:cs="Arial" w:eastAsia="Arial" w:hAnsi="Arial"/>
        <w:color w:val="888888"/>
        <w:sz w:val="18"/>
        <w:szCs w:val="18"/>
      </w:rPr>
      <w:t xml:space="preserve">Documentación Técnica — CBA Dashboard Guatemala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6E4E"/>
      <w:sz w:val="28"/>
      <w:szCs w:val="28"/>
    </w:rPr>
  </w:style>
  <w:style w:type="paragraph" w:styleId="Heading2">
    <w:name w:val="Heading 2"/>
    <w:basedOn w:val="Normal"/>
    <w:next w:val="Normal"/>
    <w:qFormat/>
    <w:pPr>
      <w:spacing w:after="160" w:before="300"/>
      <w:outlineLvl w:val="1"/>
    </w:pPr>
    <w:rPr>
      <w:rFonts w:ascii="Arial" w:cs="Arial" w:eastAsia="Arial" w:hAnsi="Arial"/>
      <w:b/>
      <w:bCs/>
      <w:color w:val="1F4E79"/>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2E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2026-05-28T06:52:05.604Z</dcterms:created>
  <dcterms:modified xsi:type="dcterms:W3CDTF">2026-05-28T06:52:05.615Z</dcterms:modified>
</cp:coreProperties>
</file>

<file path=docProps/custom.xml><?xml version="1.0" encoding="utf-8"?>
<Properties xmlns="http://schemas.openxmlformats.org/officeDocument/2006/custom-properties" xmlns:vt="http://schemas.openxmlformats.org/officeDocument/2006/docPropsVTypes"/>
</file>