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aps/>
          <w:color w:val="888888"/>
          <w:sz w:val="18"/>
          <w:szCs w:val="18"/>
        </w:rPr>
        <w:t xml:space="preserve">ARCHITECTURE DECISION RECORD</w:t>
      </w:r>
    </w:p>
    <w:p>
      <w:pPr>
        <w:spacing w:after="80" w:before="0"/>
      </w:pPr>
      <w:r>
        <w:rPr>
          <w:rFonts w:ascii="Arial" w:cs="Arial" w:eastAsia="Arial" w:hAnsi="Arial"/>
          <w:b/>
          <w:bCs/>
          <w:color w:val="1B2D4F"/>
          <w:sz w:val="44"/>
          <w:szCs w:val="44"/>
        </w:rPr>
        <w:t xml:space="preserve">ProofLayer — Phase 2.1</w:t>
      </w:r>
    </w:p>
    <w:p>
      <w:pPr>
        <w:spacing w:after="200" w:before="0"/>
      </w:pPr>
      <w:r>
        <w:rPr>
          <w:rFonts w:ascii="Arial" w:cs="Arial" w:eastAsia="Arial" w:hAnsi="Arial"/>
          <w:color w:val="2E6DA4"/>
          <w:sz w:val="22"/>
          <w:szCs w:val="22"/>
        </w:rPr>
        <w:t xml:space="preserve">Operational Hardening — Transaction Integrity, Observability, Testing, Error Standards, and Phase 3 Readiness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ADR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Status</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APPROVED — v1.1 incorporates PM resolutions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2026-05-22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ADR-004 v1.0 (proposed)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ADR-001, ADR-002, ADR-003 v1.1 — all signed 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Approved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PM + Architect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Phase 2.1: transaction hardening, observability, testing, error standards, Phase 3 gates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Does NOT cover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Gemini AI, async job queue, report generation, push notifications</w:t>
            </w:r>
          </w:p>
        </w:tc>
      </w:tr>
    </w:tbl>
    <w:p>
      <w:pPr>
        <w:spacing w:after="0" w:before="240"/>
      </w:pPr>
      <w:r>
        <w:t xml:space="preserve"/>
      </w:r>
    </w:p>
    <w:p>
      <w:pPr>
        <w:pBdr>
          <w:bottom w:val="single" w:color="2E6DA4"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60"/>
              <w:bottom w:type="dxa" w:w="120"/>
              <w:right w:type="dxa" w:w="160"/>
            </w:tcMar>
          </w:tcPr>
          <w:p>
            <w:pPr>
              <w:spacing w:after="60" w:before="0"/>
            </w:pPr>
            <w:r>
              <w:rPr>
                <w:rFonts w:ascii="Arial" w:cs="Arial" w:eastAsia="Arial" w:hAnsi="Arial"/>
                <w:b/>
                <w:bCs/>
                <w:color w:val="C62828"/>
                <w:sz w:val="20"/>
                <w:szCs w:val="20"/>
              </w:rPr>
              <w:t xml:space="preserve">Repository Engineering Standard — Carried Forward from ADR-003</w:t>
            </w:r>
          </w:p>
          <w:p>
            <w:pPr>
              <w:spacing w:after="24" w:before="0"/>
            </w:pPr>
            <w:r>
              <w:rPr>
                <w:rFonts w:ascii="Arial" w:cs="Arial" w:eastAsia="Arial" w:hAnsi="Arial"/>
                <w:color w:val="4A4A4A"/>
                <w:sz w:val="20"/>
                <w:szCs w:val="20"/>
              </w:rPr>
              <w:t xml:space="preserve">No multi-step write may cross sequential awaits without either a Postgres RPC or an explicit app-layer transaction.</w:t>
            </w:r>
          </w:p>
          <w:p>
            <w:pPr>
              <w:spacing w:after="24" w:before="0"/>
            </w:pPr>
            <w:r>
              <w:rPr>
                <w:rFonts w:ascii="Arial" w:cs="Arial" w:eastAsia="Arial" w:hAnsi="Arial"/>
                <w:color w:val="4A4A4A"/>
                <w:sz w:val="20"/>
                <w:szCs w:val="20"/>
              </w:rPr>
              <w:t xml:space="preserve">This is a repository-level standard, enforced at code review. Any PR introducing a new multi-step write without one of these patterns is rejected.</w:t>
            </w:r>
          </w:p>
          <w:p>
            <w:pPr>
              <w:spacing w:after="24" w:before="0"/>
            </w:pPr>
            <w:r>
              <w:rPr>
                <w:rFonts w:ascii="Arial" w:cs="Arial" w:eastAsia="Arial" w:hAnsi="Arial"/>
                <w:color w:val="4A4A4A"/>
                <w:sz w:val="20"/>
                <w:szCs w:val="20"/>
              </w:rPr>
              <w:t xml:space="preserve">This standard is visible in every ADR from ADR-003 forward. It does not expire.</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1. Context and Purpose</w:t>
      </w:r>
    </w:p>
    <w:p>
      <w:pPr>
        <w:spacing w:after="80" w:before="60"/>
      </w:pPr>
      <w:r>
        <w:rPr>
          <w:rFonts w:ascii="Arial" w:cs="Arial" w:eastAsia="Arial" w:hAnsi="Arial"/>
          <w:color w:val="4A4A4A"/>
          <w:sz w:val="20"/>
          <w:szCs w:val="20"/>
        </w:rPr>
        <w:t xml:space="preserve">Phase 2 delivered a production-grade operational workflow system: real auth, session-derived identity, RLS, private storage, presigned uploads, evidence gating, geo gating, and three platform invariants enforced at the database level. This is a meaningful milestone.</w:t>
      </w:r>
    </w:p>
    <w:p>
      <w:pPr>
        <w:spacing w:after="0" w:before="60"/>
      </w:pPr>
      <w:r>
        <w:t xml:space="preserve"/>
      </w:r>
    </w:p>
    <w:p>
      <w:pPr>
        <w:spacing w:after="80" w:before="60"/>
      </w:pPr>
      <w:r>
        <w:rPr>
          <w:rFonts w:ascii="Arial" w:cs="Arial" w:eastAsia="Arial" w:hAnsi="Arial"/>
          <w:color w:val="4A4A4A"/>
          <w:sz w:val="20"/>
          <w:szCs w:val="20"/>
        </w:rPr>
        <w:t xml:space="preserve">Phase 2.1 is not a feature phase. It is the hardening pass that makes the system trustworthy under operational conditions. The risk category has shifted: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Primary risk category</w:t>
            </w:r>
          </w:p>
        </w:tc>
        <w:tc>
          <w:tcPr>
            <w:tcW w:type="dxa" w:w="4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How mitigated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Demo contamination — hard-coded identity, no real auth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Real auth, session identity, RLS (Phase 2)</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Architectural fragility — missing auth, storage, transaction safety</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ADR-003 implementation (complete)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Operational fragility — partial failures invisible, no test suite, no structured logging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This ADR</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AI/async complexity without hardened substrate</w:t>
            </w:r>
          </w:p>
        </w:tc>
        <w:tc>
          <w:tcPr>
            <w:tcW w:type="dxa" w:w="4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Gated on all six Phase 3 readiness gates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20"/>
              <w:left w:type="dxa" w:w="160"/>
              <w:bottom w:type="dxa" w:w="120"/>
              <w:right w:type="dxa" w:w="160"/>
            </w:tcMar>
          </w:tcPr>
          <w:p>
            <w:pPr>
              <w:spacing w:after="60" w:before="0"/>
            </w:pPr>
            <w:r>
              <w:rPr>
                <w:rFonts w:ascii="Arial" w:cs="Arial" w:eastAsia="Arial" w:hAnsi="Arial"/>
                <w:b/>
                <w:bCs/>
                <w:color w:val="E65100"/>
                <w:sz w:val="20"/>
                <w:szCs w:val="20"/>
              </w:rPr>
              <w:t xml:space="preserve">Phase 2.1 is the gate</w:t>
            </w:r>
          </w:p>
          <w:p>
            <w:pPr>
              <w:spacing w:after="24" w:before="0"/>
            </w:pPr>
            <w:r>
              <w:rPr>
                <w:rFonts w:ascii="Arial" w:cs="Arial" w:eastAsia="Arial" w:hAnsi="Arial"/>
                <w:color w:val="4A4A4A"/>
                <w:sz w:val="20"/>
                <w:szCs w:val="20"/>
              </w:rPr>
              <w:t xml:space="preserve">Gemini AI evaluation will introduce async orchestration, retries, model outputs, evaluation failures, and report-generation complexity.</w:t>
            </w:r>
          </w:p>
          <w:p>
            <w:pPr>
              <w:spacing w:after="24" w:before="0"/>
            </w:pPr>
            <w:r>
              <w:rPr>
                <w:rFonts w:ascii="Arial" w:cs="Arial" w:eastAsia="Arial" w:hAnsi="Arial"/>
                <w:color w:val="4A4A4A"/>
                <w:sz w:val="20"/>
                <w:szCs w:val="20"/>
              </w:rPr>
              <w:t xml:space="preserve">The operational substrate must be hardened first. A system with unreliable transaction semantics, no structured logging, and no automated test suite is not ready to absorb that complexity.</w:t>
            </w:r>
          </w:p>
          <w:p>
            <w:pPr>
              <w:spacing w:after="24" w:before="0"/>
            </w:pPr>
            <w:r>
              <w:rPr>
                <w:rFonts w:ascii="Arial" w:cs="Arial" w:eastAsia="Arial" w:hAnsi="Arial"/>
                <w:color w:val="4A4A4A"/>
                <w:sz w:val="20"/>
                <w:szCs w:val="20"/>
              </w:rPr>
              <w:t xml:space="preserve">Phase 3 does not begin until all six readiness gates in Section 7 are passed. This is a PM and architect co-sign requirement.</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2. Transaction Hardening</w:t>
      </w:r>
    </w:p>
    <w:p>
      <w:pPr>
        <w:pStyle w:val="Heading2"/>
        <w:spacing w:after="100" w:before="280"/>
      </w:pPr>
      <w:r>
        <w:rPr>
          <w:rFonts w:ascii="Arial" w:cs="Arial" w:eastAsia="Arial" w:hAnsi="Arial"/>
          <w:b/>
          <w:bCs/>
          <w:color w:val="2E6DA4"/>
          <w:sz w:val="26"/>
          <w:szCs w:val="26"/>
        </w:rPr>
        <w:t xml:space="preserve">2.1 The Problem</w:t>
      </w:r>
    </w:p>
    <w:p>
      <w:pPr>
        <w:spacing w:after="80" w:before="60"/>
      </w:pPr>
      <w:r>
        <w:rPr>
          <w:rFonts w:ascii="Arial" w:cs="Arial" w:eastAsia="Arial" w:hAnsi="Arial"/>
          <w:color w:val="4A4A4A"/>
          <w:sz w:val="20"/>
          <w:szCs w:val="20"/>
        </w:rPr>
        <w:t xml:space="preserve">POST /api/submissions performs four sequential database writes with no transaction wrapper. If any step fails after a previous step succeeded, the system is in partial state with no automatic recovery. This was deferred from ADR-003 Step 15 and must be resolved before Phase 3.</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2.2 Decision: Postgres RPC for Submissions</w:t>
      </w:r>
    </w:p>
    <w:p>
      <w:pPr>
        <w:spacing w:after="80" w:before="60"/>
      </w:pPr>
      <w:r>
        <w:rPr>
          <w:rFonts w:ascii="Arial" w:cs="Arial" w:eastAsia="Arial" w:hAnsi="Arial"/>
          <w:color w:val="4A4A4A"/>
          <w:sz w:val="20"/>
          <w:szCs w:val="20"/>
        </w:rPr>
        <w:t xml:space="preserve">The submission flow is replaced by a single Postgres stored function. The function wraps all four steps in a single atomic transaction. The two pre-flight gates (geo and evidence) remain in the API route handler before the RPC call — they are not part of the atomic transaction.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Function name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prooflayer.submit_assignment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Parameters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p_assignment_id UUID, p_organization_id UUID, p_submitted_by UUID, p_notes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Returns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JSON: { submission_id, assignment_id, status, created_at }</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Atomicity</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All four writes succeed together or none succeed — no partial state possible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Migration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011_submit_rpc.sql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Rollback</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DROP FUNCTION prooflayer.submit_assignment;</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2.3 RPC Atomic Sequence</w:t>
      </w:r>
    </w:p>
    <w:p>
      <w:pPr>
        <w:pStyle w:val="ListParagraph"/>
        <w:numPr>
          <w:ilvl w:val="0"/>
          <w:numId w:val="2"/>
        </w:numPr>
        <w:spacing w:after="40" w:before="40"/>
      </w:pPr>
      <w:r>
        <w:rPr>
          <w:rFonts w:ascii="Arial" w:cs="Arial" w:eastAsia="Arial" w:hAnsi="Arial"/>
          <w:color w:val="4A4A4A"/>
          <w:sz w:val="20"/>
          <w:szCs w:val="20"/>
        </w:rPr>
        <w:t xml:space="preserve">Step 1: Verify assignment status is in_progress — raise exception if not</w:t>
      </w:r>
    </w:p>
    <w:p>
      <w:pPr>
        <w:pStyle w:val="ListParagraph"/>
        <w:numPr>
          <w:ilvl w:val="0"/>
          <w:numId w:val="2"/>
        </w:numPr>
        <w:spacing w:after="40" w:before="40"/>
      </w:pPr>
      <w:r>
        <w:rPr>
          <w:rFonts w:ascii="Arial" w:cs="Arial" w:eastAsia="Arial" w:hAnsi="Arial"/>
          <w:color w:val="4A4A4A"/>
          <w:sz w:val="20"/>
          <w:szCs w:val="20"/>
        </w:rPr>
        <w:t xml:space="preserve">Step 2: Insert row into prooflayer.submissions</w:t>
      </w:r>
    </w:p>
    <w:p>
      <w:pPr>
        <w:pStyle w:val="ListParagraph"/>
        <w:numPr>
          <w:ilvl w:val="0"/>
          <w:numId w:val="2"/>
        </w:numPr>
        <w:spacing w:after="40" w:before="40"/>
      </w:pPr>
      <w:r>
        <w:rPr>
          <w:rFonts w:ascii="Arial" w:cs="Arial" w:eastAsia="Arial" w:hAnsi="Arial"/>
          <w:color w:val="4A4A4A"/>
          <w:sz w:val="20"/>
          <w:szCs w:val="20"/>
        </w:rPr>
        <w:t xml:space="preserve">Step 3: UPDATE prooflayer.assignments SET status = 'submitted', submitted_at = now()</w:t>
      </w:r>
    </w:p>
    <w:p>
      <w:pPr>
        <w:pStyle w:val="ListParagraph"/>
        <w:numPr>
          <w:ilvl w:val="0"/>
          <w:numId w:val="2"/>
        </w:numPr>
        <w:spacing w:after="40" w:before="40"/>
      </w:pPr>
      <w:r>
        <w:rPr>
          <w:rFonts w:ascii="Arial" w:cs="Arial" w:eastAsia="Arial" w:hAnsi="Arial"/>
          <w:color w:val="4A4A4A"/>
          <w:sz w:val="20"/>
          <w:szCs w:val="20"/>
        </w:rPr>
        <w:t xml:space="preserve">Step 4: UPDATE prooflayer.qc_cases SET status = 'in_review'</w:t>
      </w:r>
    </w:p>
    <w:p>
      <w:pPr>
        <w:pStyle w:val="ListParagraph"/>
        <w:numPr>
          <w:ilvl w:val="0"/>
          <w:numId w:val="2"/>
        </w:numPr>
        <w:spacing w:after="40" w:before="40"/>
      </w:pPr>
      <w:r>
        <w:rPr>
          <w:rFonts w:ascii="Arial" w:cs="Arial" w:eastAsia="Arial" w:hAnsi="Arial"/>
          <w:color w:val="4A4A4A"/>
          <w:sz w:val="20"/>
          <w:szCs w:val="20"/>
        </w:rPr>
        <w:t xml:space="preserve">Step 5: INSERT into prooflayer.assignment_events (type: submitted, actor_id: p_submitted_by)</w:t>
      </w:r>
    </w:p>
    <w:p>
      <w:pPr>
        <w:pStyle w:val="ListParagraph"/>
        <w:numPr>
          <w:ilvl w:val="0"/>
          <w:numId w:val="2"/>
        </w:numPr>
        <w:spacing w:after="40" w:before="40"/>
      </w:pPr>
      <w:r>
        <w:rPr>
          <w:rFonts w:ascii="Arial" w:cs="Arial" w:eastAsia="Arial" w:hAnsi="Arial"/>
          <w:color w:val="4A4A4A"/>
          <w:sz w:val="20"/>
          <w:szCs w:val="20"/>
        </w:rPr>
        <w:t xml:space="preserve">Step 6: Return submission row as JSON</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2.4 Retry Safety</w:t>
      </w:r>
    </w:p>
    <w:p>
      <w:pPr>
        <w:spacing w:after="80" w:before="60"/>
      </w:pPr>
      <w:r>
        <w:rPr>
          <w:rFonts w:ascii="Arial" w:cs="Arial" w:eastAsia="Arial" w:hAnsi="Arial"/>
          <w:color w:val="4A4A4A"/>
          <w:sz w:val="20"/>
          <w:szCs w:val="20"/>
        </w:rPr>
        <w:t xml:space="preserve">If the submission already exists (UNIQUE constraint on assignment_id), the RPC raises a unique violation which the API maps to 409. The client treats 409 as success. Retrying a successful submission is safe. This is mature distributed-systems behavior.</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2.5 Approve and Reject</w:t>
      </w:r>
    </w:p>
    <w:p>
      <w:pPr>
        <w:spacing w:after="80" w:before="60"/>
      </w:pPr>
      <w:r>
        <w:rPr>
          <w:rFonts w:ascii="Arial" w:cs="Arial" w:eastAsia="Arial" w:hAnsi="Arial"/>
          <w:color w:val="4A4A4A"/>
          <w:sz w:val="20"/>
          <w:szCs w:val="20"/>
        </w:rPr>
        <w:t xml:space="preserve">Approve and reject routes already have partial failure detection. Phase 2.1 wraps their multi-step writes in explicit app-layer transactions per ADR-003 §2.2. Two-to-three step operations with one caller are the correct profile for app-layer rather than RPC.</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3. Observability Strategy</w:t>
      </w:r>
    </w:p>
    <w:p>
      <w:pPr>
        <w:pStyle w:val="Heading2"/>
        <w:spacing w:after="100" w:before="280"/>
      </w:pPr>
      <w:r>
        <w:rPr>
          <w:rFonts w:ascii="Arial" w:cs="Arial" w:eastAsia="Arial" w:hAnsi="Arial"/>
          <w:b/>
          <w:bCs/>
          <w:color w:val="2E6DA4"/>
          <w:sz w:val="26"/>
          <w:szCs w:val="26"/>
        </w:rPr>
        <w:t xml:space="preserve">3.1 Request IDs</w:t>
      </w:r>
    </w:p>
    <w:p>
      <w:pPr>
        <w:spacing w:after="80" w:before="60"/>
      </w:pPr>
      <w:r>
        <w:rPr>
          <w:rFonts w:ascii="Arial" w:cs="Arial" w:eastAsia="Arial" w:hAnsi="Arial"/>
          <w:color w:val="4A4A4A"/>
          <w:sz w:val="20"/>
          <w:szCs w:val="20"/>
        </w:rPr>
        <w:t xml:space="preserve">Every API request receives a unique request ID generated at the middleware level. The request ID is the correlation anchor for the entire request lifecycle.</w:t>
      </w:r>
    </w:p>
    <w:p>
      <w:pPr>
        <w:spacing w:after="0" w:before="40"/>
      </w:pPr>
      <w:r>
        <w:t xml:space="preserve"/>
      </w:r>
    </w:p>
    <w:p>
      <w:pPr>
        <w:pStyle w:val="ListParagraph"/>
        <w:numPr>
          <w:ilvl w:val="0"/>
          <w:numId w:val="2"/>
        </w:numPr>
        <w:spacing w:after="40" w:before="40"/>
      </w:pPr>
      <w:r>
        <w:rPr>
          <w:rFonts w:ascii="Arial" w:cs="Arial" w:eastAsia="Arial" w:hAnsi="Arial"/>
          <w:color w:val="4A4A4A"/>
          <w:sz w:val="20"/>
          <w:szCs w:val="20"/>
        </w:rPr>
        <w:t xml:space="preserve">Generated as a UUID in src/middleware.ts on every matched request</w:t>
      </w:r>
    </w:p>
    <w:p>
      <w:pPr>
        <w:pStyle w:val="ListParagraph"/>
        <w:numPr>
          <w:ilvl w:val="0"/>
          <w:numId w:val="2"/>
        </w:numPr>
        <w:spacing w:after="40" w:before="40"/>
      </w:pPr>
      <w:r>
        <w:rPr>
          <w:rFonts w:ascii="Arial" w:cs="Arial" w:eastAsia="Arial" w:hAnsi="Arial"/>
          <w:color w:val="4A4A4A"/>
          <w:sz w:val="20"/>
          <w:szCs w:val="20"/>
        </w:rPr>
        <w:t xml:space="preserve">Attached to the request as header x-request-id</w:t>
      </w:r>
    </w:p>
    <w:p>
      <w:pPr>
        <w:pStyle w:val="ListParagraph"/>
        <w:numPr>
          <w:ilvl w:val="0"/>
          <w:numId w:val="2"/>
        </w:numPr>
        <w:spacing w:after="40" w:before="40"/>
      </w:pPr>
      <w:r>
        <w:rPr>
          <w:rFonts w:ascii="Arial" w:cs="Arial" w:eastAsia="Arial" w:hAnsi="Arial"/>
          <w:color w:val="4A4A4A"/>
          <w:sz w:val="20"/>
          <w:szCs w:val="20"/>
        </w:rPr>
        <w:t xml:space="preserve">Returned in every API response as header x-request-id</w:t>
      </w:r>
    </w:p>
    <w:p>
      <w:pPr>
        <w:pStyle w:val="ListParagraph"/>
        <w:numPr>
          <w:ilvl w:val="0"/>
          <w:numId w:val="2"/>
        </w:numPr>
        <w:spacing w:after="40" w:before="40"/>
      </w:pPr>
      <w:r>
        <w:rPr>
          <w:rFonts w:ascii="Arial" w:cs="Arial" w:eastAsia="Arial" w:hAnsi="Arial"/>
          <w:color w:val="4A4A4A"/>
          <w:sz w:val="20"/>
          <w:szCs w:val="20"/>
        </w:rPr>
        <w:t xml:space="preserve">Included in every structured log entry for the request</w:t>
      </w:r>
    </w:p>
    <w:p>
      <w:pPr>
        <w:pStyle w:val="ListParagraph"/>
        <w:numPr>
          <w:ilvl w:val="0"/>
          <w:numId w:val="2"/>
        </w:numPr>
        <w:spacing w:after="40" w:before="40"/>
      </w:pPr>
      <w:r>
        <w:rPr>
          <w:rFonts w:ascii="Arial" w:cs="Arial" w:eastAsia="Arial" w:hAnsi="Arial"/>
          <w:color w:val="4A4A4A"/>
          <w:sz w:val="20"/>
          <w:szCs w:val="20"/>
        </w:rPr>
        <w:t xml:space="preserve">Returned in all error responses so clients can reference it for support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pPr>
              <w:spacing w:after="40" w:before="0"/>
            </w:pPr>
            <w:r>
              <w:rPr>
                <w:rFonts w:ascii="Arial" w:cs="Arial" w:eastAsia="Arial" w:hAnsi="Arial"/>
                <w:b/>
                <w:bCs/>
                <w:color w:val="00695C"/>
                <w:sz w:val="16"/>
                <w:szCs w:val="16"/>
              </w:rPr>
              <w:t xml:space="preserve">PHASE 3 FORWARD NOTE</w:t>
            </w:r>
          </w:p>
          <w:p>
            <w:pPr>
              <w:spacing w:after="0" w:before="0"/>
            </w:pPr>
            <w:r>
              <w:rPr>
                <w:rFonts w:ascii="Arial" w:cs="Arial" w:eastAsia="Arial" w:hAnsi="Arial"/>
                <w:color w:val="4A4A4A"/>
                <w:sz w:val="19"/>
                <w:szCs w:val="19"/>
              </w:rPr>
              <w:t xml:space="preserve">Phase 3 forward note: request_id is the correlation anchor for the entire request lifecycle. Every async job queued as a result of a request carries the originating request_id as a correlation_id field. Gemini evaluation jobs, webhook fanout, and report generation all inherit this ID. This makes it possible to trace a submitted evidence file from presigned URL request through upload confirmation through AI evaluation through report generation — one ID, one traceable chain.</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3.2 Structured Logger</w:t>
      </w:r>
    </w:p>
    <w:p>
      <w:pPr>
        <w:spacing w:after="80" w:before="60"/>
      </w:pPr>
      <w:r>
        <w:rPr>
          <w:rFonts w:ascii="Arial" w:cs="Arial" w:eastAsia="Arial" w:hAnsi="Arial"/>
          <w:color w:val="4A4A4A"/>
          <w:sz w:val="20"/>
          <w:szCs w:val="20"/>
        </w:rPr>
        <w:t xml:space="preserve">A shared logger module at src/lib/logger.ts wraps console output in a consistent JSON structure. The schema is intentionally flat and typed so that log aggregation tools can filter, aggregate, and alert on individual fields without parsing.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ISO 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UTC time of the log entry</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level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info|warn|error</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Severity level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request_id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UUID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From x-request-id header</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route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e.g. POST /api/submissions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UUID | null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From session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organization_id</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UUID | null</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From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Structured event name — see §3.3</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detail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 | null</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Additional context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duration_ms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number | null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Request duration where applicable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pPr>
              <w:spacing w:after="40" w:before="0"/>
            </w:pPr>
            <w:r>
              <w:rPr>
                <w:rFonts w:ascii="Arial" w:cs="Arial" w:eastAsia="Arial" w:hAnsi="Arial"/>
                <w:b/>
                <w:bCs/>
                <w:color w:val="00695C"/>
                <w:sz w:val="16"/>
                <w:szCs w:val="16"/>
              </w:rPr>
              <w:t xml:space="preserve">PHASE 3 FORWARD NOTE</w:t>
            </w:r>
          </w:p>
          <w:p>
            <w:pPr>
              <w:spacing w:after="0" w:before="0"/>
            </w:pPr>
            <w:r>
              <w:rPr>
                <w:rFonts w:ascii="Arial" w:cs="Arial" w:eastAsia="Arial" w:hAnsi="Arial"/>
                <w:color w:val="4A4A4A"/>
                <w:sz w:val="19"/>
                <w:szCs w:val="19"/>
              </w:rPr>
              <w:t xml:space="preserve">Phase 3 forward note: structured JSON logs are designed to be machine-searchable operational telemetry from day one. Console output is the Phase 2.1 transport — the schema is the Phase 3 asset. Log aggregation tools (Datadog, Loki, Supabase log dashboard) can filter and alert on individual fields without parsing. The schema does not change when the transport is upgraded.</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3.3 Critical Event Taxonomy</w:t>
      </w:r>
    </w:p>
    <w:p>
      <w:pPr>
        <w:spacing w:after="80" w:before="60"/>
      </w:pPr>
      <w:r>
        <w:rPr>
          <w:rFonts w:ascii="Arial" w:cs="Arial" w:eastAsia="Arial" w:hAnsi="Arial"/>
          <w:color w:val="4A4A4A"/>
          <w:sz w:val="20"/>
          <w:szCs w:val="20"/>
        </w:rPr>
        <w:t xml:space="preserve">Log events are organized into three streams. Phase 2.1 implements operational stream events only.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1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1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Operational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Workflow transitions, gate failures, upload outcomes, webhook results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AI Evaluation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6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Gemini requests, evaluation results, confidence scores, AI failures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Infrastructure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 delivery retries, DB connection issues, storage errors, queue depth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pPr>
              <w:spacing w:after="40" w:before="0"/>
            </w:pPr>
            <w:r>
              <w:rPr>
                <w:rFonts w:ascii="Arial" w:cs="Arial" w:eastAsia="Arial" w:hAnsi="Arial"/>
                <w:b/>
                <w:bCs/>
                <w:color w:val="00695C"/>
                <w:sz w:val="16"/>
                <w:szCs w:val="16"/>
              </w:rPr>
              <w:t xml:space="preserve">PHASE 3 FORWARD NOTE</w:t>
            </w:r>
          </w:p>
          <w:p>
            <w:pPr>
              <w:spacing w:after="0" w:before="0"/>
            </w:pPr>
            <w:r>
              <w:rPr>
                <w:rFonts w:ascii="Arial" w:cs="Arial" w:eastAsia="Arial" w:hAnsi="Arial"/>
                <w:color w:val="4A4A4A"/>
                <w:sz w:val="19"/>
                <w:szCs w:val="19"/>
              </w:rPr>
              <w:t xml:space="preserve">Phase 3 forward note: as observability volume grows, each stream will have its own log level thresholds and alert rules. Operational stream events are always logged. AI evaluation events are sampled at high volume. Infrastructure events trigger automated alerts. The event names below are operational stream — the taxonomy is designed to extend cleanly.</w:t>
            </w:r>
          </w:p>
        </w:tc>
      </w:tr>
    </w:tbl>
    <w:p>
      <w:pPr>
        <w:spacing w:after="0" w:before="80"/>
      </w:pPr>
      <w:r>
        <w:t xml:space="preserve"/>
      </w:r>
    </w:p>
    <w:p>
      <w:pPr>
        <w:spacing w:after="80" w:before="60"/>
      </w:pPr>
      <w:r>
        <w:rPr>
          <w:rFonts w:ascii="Arial" w:cs="Arial" w:eastAsia="Arial" w:hAnsi="Arial"/>
          <w:color w:val="4A4A4A"/>
          <w:sz w:val="20"/>
          <w:szCs w:val="20"/>
        </w:rPr>
        <w:t xml:space="preserve">Phase 2.1 operational stream events: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rPr>
          <w:tblHeader/>
        </w:trPr>
        <w:tc>
          <w:tcPr>
            <w:tcW w:type="dxa" w:w="2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9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Key detail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submission.geo_gate_failed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warn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case_id, check_in_count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submission.evidence_gate_failed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warn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unmet_requirements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submission.created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submission_id, assignment_id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submission.rpc_failed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error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error_code, error_message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assignment.approved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.../approve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case_id, actor_id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assignment.rejected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.../reject</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reason, actor_id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assignment.partial_update_failed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approve/reject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assignment_id, failed_step, error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upload.url_created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.../upload-url</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evidence_file_id, requirement_id, idempotency_key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upload.idempotency_hit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.../upload-url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evidence_file_id, existing_status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webhook.received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.../storage-confirm</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object_path, signature_verified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webhook.file_verified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.../storage-confirm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evidence_file_id, requirement_id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webhook.file_rejected</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warn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.../storage-confirm</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evidence_file_id, mime_type, byte_size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webhook.requirement_fulfilled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.../storage-confirm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requirement_id, assignment_id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webhook.no_evidence_row</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error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.../storage-confirm</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object_path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auth.provisioning_failed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warn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middleware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user_id, reason</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3.4 What Is Not Logged</w:t>
      </w:r>
    </w:p>
    <w:p>
      <w:pPr>
        <w:pStyle w:val="ListParagraph"/>
        <w:numPr>
          <w:ilvl w:val="0"/>
          <w:numId w:val="2"/>
        </w:numPr>
        <w:spacing w:after="40" w:before="40"/>
      </w:pPr>
      <w:r>
        <w:rPr>
          <w:rFonts w:ascii="Arial" w:cs="Arial" w:eastAsia="Arial" w:hAnsi="Arial"/>
          <w:color w:val="4A4A4A"/>
          <w:sz w:val="20"/>
          <w:szCs w:val="20"/>
        </w:rPr>
        <w:t xml:space="preserve">Request/response bodies — contain PII and file metadata</w:t>
      </w:r>
    </w:p>
    <w:p>
      <w:pPr>
        <w:pStyle w:val="ListParagraph"/>
        <w:numPr>
          <w:ilvl w:val="0"/>
          <w:numId w:val="2"/>
        </w:numPr>
        <w:spacing w:after="40" w:before="40"/>
      </w:pPr>
      <w:r>
        <w:rPr>
          <w:rFonts w:ascii="Arial" w:cs="Arial" w:eastAsia="Arial" w:hAnsi="Arial"/>
          <w:color w:val="4A4A4A"/>
          <w:sz w:val="20"/>
          <w:szCs w:val="20"/>
        </w:rPr>
        <w:t xml:space="preserve">Auth tokens or session cookies</w:t>
      </w:r>
    </w:p>
    <w:p>
      <w:pPr>
        <w:pStyle w:val="ListParagraph"/>
        <w:numPr>
          <w:ilvl w:val="0"/>
          <w:numId w:val="2"/>
        </w:numPr>
        <w:spacing w:after="40" w:before="40"/>
      </w:pPr>
      <w:r>
        <w:rPr>
          <w:rFonts w:ascii="Arial" w:cs="Arial" w:eastAsia="Arial" w:hAnsi="Arial"/>
          <w:color w:val="4A4A4A"/>
          <w:sz w:val="20"/>
          <w:szCs w:val="20"/>
        </w:rPr>
        <w:t xml:space="preserve">Presigned URLs — they grant direct storage write access</w:t>
      </w:r>
    </w:p>
    <w:p>
      <w:pPr>
        <w:pStyle w:val="ListParagraph"/>
        <w:numPr>
          <w:ilvl w:val="0"/>
          <w:numId w:val="2"/>
        </w:numPr>
        <w:spacing w:after="40" w:before="40"/>
      </w:pPr>
      <w:r>
        <w:rPr>
          <w:rFonts w:ascii="Arial" w:cs="Arial" w:eastAsia="Arial" w:hAnsi="Arial"/>
          <w:color w:val="4A4A4A"/>
          <w:sz w:val="20"/>
          <w:szCs w:val="20"/>
        </w:rPr>
        <w:t xml:space="preserve">Individual SQL queries — too verbose for production</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4. Operational Visibility</w:t>
      </w:r>
    </w:p>
    <w:p>
      <w:pPr>
        <w:pStyle w:val="Heading2"/>
        <w:spacing w:after="100" w:before="280"/>
      </w:pPr>
      <w:r>
        <w:rPr>
          <w:rFonts w:ascii="Arial" w:cs="Arial" w:eastAsia="Arial" w:hAnsi="Arial"/>
          <w:b/>
          <w:bCs/>
          <w:color w:val="2E6DA4"/>
          <w:sz w:val="26"/>
          <w:szCs w:val="26"/>
        </w:rPr>
        <w:t xml:space="preserve">4.1 Diagnostic-First Philosophy</w:t>
      </w:r>
    </w:p>
    <w:p>
      <w:pPr>
        <w:spacing w:after="80" w:before="60"/>
      </w:pPr>
      <w:r>
        <w:rPr>
          <w:rFonts w:ascii="Arial" w:cs="Arial" w:eastAsia="Arial" w:hAnsi="Arial"/>
          <w:color w:val="4A4A4A"/>
          <w:sz w:val="20"/>
          <w:szCs w:val="20"/>
        </w:rPr>
        <w:t xml:space="preserve">Operational visibility is built as diagnostic endpoints before full admin tooling. This maintains visibility without prematurely building operational UI complexity.</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4.2 Failed Upload Endpoint</w:t>
      </w:r>
    </w:p>
    <w:p>
      <w:pPr>
        <w:pStyle w:val="ListParagraph"/>
        <w:numPr>
          <w:ilvl w:val="0"/>
          <w:numId w:val="2"/>
        </w:numPr>
        <w:spacing w:after="40" w:before="40"/>
      </w:pPr>
      <w:r>
        <w:rPr>
          <w:rFonts w:ascii="Arial" w:cs="Arial" w:eastAsia="Arial" w:hAnsi="Arial"/>
          <w:color w:val="4A4A4A"/>
          <w:sz w:val="20"/>
          <w:szCs w:val="20"/>
        </w:rPr>
        <w:t xml:space="preserve">GET /api/admin/evidence-files — enterprise role required</w:t>
      </w:r>
    </w:p>
    <w:p>
      <w:pPr>
        <w:pStyle w:val="ListParagraph"/>
        <w:numPr>
          <w:ilvl w:val="0"/>
          <w:numId w:val="2"/>
        </w:numPr>
        <w:spacing w:after="40" w:before="40"/>
      </w:pPr>
      <w:r>
        <w:rPr>
          <w:rFonts w:ascii="Arial" w:cs="Arial" w:eastAsia="Arial" w:hAnsi="Arial"/>
          <w:color w:val="4A4A4A"/>
          <w:sz w:val="20"/>
          <w:szCs w:val="20"/>
        </w:rPr>
        <w:t xml:space="preserve">Query params: status (pending|rejected|verified), older_than_minutes (default 60)</w:t>
      </w:r>
    </w:p>
    <w:p>
      <w:pPr>
        <w:pStyle w:val="ListParagraph"/>
        <w:numPr>
          <w:ilvl w:val="0"/>
          <w:numId w:val="2"/>
        </w:numPr>
        <w:spacing w:after="40" w:before="40"/>
      </w:pPr>
      <w:r>
        <w:rPr>
          <w:rFonts w:ascii="Arial" w:cs="Arial" w:eastAsia="Arial" w:hAnsi="Arial"/>
          <w:color w:val="4A4A4A"/>
          <w:sz w:val="20"/>
          <w:szCs w:val="20"/>
        </w:rPr>
        <w:t xml:space="preserve">Returns: evidence_file_id, assignment_id, requirement label, status, created_at, age_minutes</w:t>
      </w:r>
    </w:p>
    <w:p>
      <w:pPr>
        <w:pStyle w:val="ListParagraph"/>
        <w:numPr>
          <w:ilvl w:val="0"/>
          <w:numId w:val="2"/>
        </w:numPr>
        <w:spacing w:after="40" w:before="40"/>
      </w:pPr>
      <w:r>
        <w:rPr>
          <w:rFonts w:ascii="Arial" w:cs="Arial" w:eastAsia="Arial" w:hAnsi="Arial"/>
          <w:color w:val="4A4A4A"/>
          <w:sz w:val="20"/>
          <w:szCs w:val="20"/>
        </w:rPr>
        <w:t xml:space="preserve">Surfaces evidence files stuck in pending or rejected without manual DB query</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4.3 Enterprise Dashboard Indicator</w:t>
      </w:r>
    </w:p>
    <w:p>
      <w:pPr>
        <w:spacing w:after="80" w:before="60"/>
      </w:pPr>
      <w:r>
        <w:rPr>
          <w:rFonts w:ascii="Arial" w:cs="Arial" w:eastAsia="Arial" w:hAnsi="Arial"/>
          <w:color w:val="4A4A4A"/>
          <w:sz w:val="20"/>
          <w:szCs w:val="20"/>
        </w:rPr>
        <w:t xml:space="preserve">The enterprise dashboard shows a count badge when any evidence files in the organization are stuck in pending status older than 60 minutes. Clicking shows the diagnostic list. No new API required — uses the endpoint above.</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4.4 Webhook Retry Visibility</w:t>
      </w:r>
    </w:p>
    <w:p>
      <w:pPr>
        <w:pStyle w:val="ListParagraph"/>
        <w:numPr>
          <w:ilvl w:val="0"/>
          <w:numId w:val="2"/>
        </w:numPr>
        <w:spacing w:after="40" w:before="40"/>
      </w:pPr>
      <w:r>
        <w:rPr>
          <w:rFonts w:ascii="Arial" w:cs="Arial" w:eastAsia="Arial" w:hAnsi="Arial"/>
          <w:color w:val="4A4A4A"/>
          <w:sz w:val="20"/>
          <w:szCs w:val="20"/>
        </w:rPr>
        <w:t xml:space="preserve">Evidence files stuck in pending after 90 minutes surface in the admin endpoint</w:t>
      </w:r>
    </w:p>
    <w:p>
      <w:pPr>
        <w:pStyle w:val="ListParagraph"/>
        <w:numPr>
          <w:ilvl w:val="0"/>
          <w:numId w:val="2"/>
        </w:numPr>
        <w:spacing w:after="40" w:before="40"/>
      </w:pPr>
      <w:r>
        <w:rPr>
          <w:rFonts w:ascii="Arial" w:cs="Arial" w:eastAsia="Arial" w:hAnsi="Arial"/>
          <w:color w:val="4A4A4A"/>
          <w:sz w:val="20"/>
          <w:szCs w:val="20"/>
        </w:rPr>
        <w:t xml:space="preserve">webhook.no_evidence_row log event alerts to mismatched delivery</w:t>
      </w:r>
    </w:p>
    <w:p>
      <w:pPr>
        <w:pStyle w:val="ListParagraph"/>
        <w:numPr>
          <w:ilvl w:val="0"/>
          <w:numId w:val="2"/>
        </w:numPr>
        <w:spacing w:after="40" w:before="40"/>
      </w:pPr>
      <w:r>
        <w:rPr>
          <w:rFonts w:ascii="Arial" w:cs="Arial" w:eastAsia="Arial" w:hAnsi="Arial"/>
          <w:color w:val="4A4A4A"/>
          <w:sz w:val="20"/>
          <w:szCs w:val="20"/>
        </w:rPr>
        <w:t xml:space="preserve">Dead letter queue and automated alerting are Phase 3</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5. Automated Testing Philosophy</w:t>
      </w:r>
    </w:p>
    <w:p>
      <w:pPr>
        <w:pStyle w:val="Heading2"/>
        <w:spacing w:after="100" w:before="280"/>
      </w:pPr>
      <w:r>
        <w:rPr>
          <w:rFonts w:ascii="Arial" w:cs="Arial" w:eastAsia="Arial" w:hAnsi="Arial"/>
          <w:b/>
          <w:bCs/>
          <w:color w:val="2E6DA4"/>
          <w:sz w:val="26"/>
          <w:szCs w:val="26"/>
        </w:rPr>
        <w:t xml:space="preserve">5.1 Tool and Environment</w:t>
      </w:r>
    </w:p>
    <w:p>
      <w:pPr>
        <w:pStyle w:val="ListParagraph"/>
        <w:numPr>
          <w:ilvl w:val="0"/>
          <w:numId w:val="2"/>
        </w:numPr>
        <w:spacing w:after="40" w:before="40"/>
      </w:pPr>
      <w:r>
        <w:rPr>
          <w:rFonts w:ascii="Arial" w:cs="Arial" w:eastAsia="Arial" w:hAnsi="Arial"/>
          <w:color w:val="4A4A4A"/>
          <w:sz w:val="20"/>
          <w:szCs w:val="20"/>
        </w:rPr>
        <w:t xml:space="preserve">Test runner: Vitest — integrates natively with the Next.js/TypeScript stack</w:t>
      </w:r>
    </w:p>
    <w:p>
      <w:pPr>
        <w:pStyle w:val="ListParagraph"/>
        <w:numPr>
          <w:ilvl w:val="0"/>
          <w:numId w:val="2"/>
        </w:numPr>
        <w:spacing w:after="40" w:before="40"/>
      </w:pPr>
      <w:r>
        <w:rPr>
          <w:rFonts w:ascii="Arial" w:cs="Arial" w:eastAsia="Arial" w:hAnsi="Arial"/>
          <w:color w:val="4A4A4A"/>
          <w:sz w:val="20"/>
          <w:szCs w:val="20"/>
        </w:rPr>
        <w:t xml:space="preserve">Dedicated Supabase test project — separate from production</w:t>
      </w:r>
    </w:p>
    <w:p>
      <w:pPr>
        <w:pStyle w:val="ListParagraph"/>
        <w:numPr>
          <w:ilvl w:val="0"/>
          <w:numId w:val="2"/>
        </w:numPr>
        <w:spacing w:after="40" w:before="40"/>
      </w:pPr>
      <w:r>
        <w:rPr>
          <w:rFonts w:ascii="Arial" w:cs="Arial" w:eastAsia="Arial" w:hAnsi="Arial"/>
          <w:color w:val="4A4A4A"/>
          <w:sz w:val="20"/>
          <w:szCs w:val="20"/>
        </w:rPr>
        <w:t xml:space="preserve">Migrations 001–011 applied to test project before test run</w:t>
      </w:r>
    </w:p>
    <w:p>
      <w:pPr>
        <w:pStyle w:val="ListParagraph"/>
        <w:numPr>
          <w:ilvl w:val="0"/>
          <w:numId w:val="2"/>
        </w:numPr>
        <w:spacing w:after="40" w:before="40"/>
      </w:pPr>
      <w:r>
        <w:rPr>
          <w:rFonts w:ascii="Arial" w:cs="Arial" w:eastAsia="Arial" w:hAnsi="Arial"/>
          <w:color w:val="4A4A4A"/>
          <w:sz w:val="20"/>
          <w:szCs w:val="20"/>
        </w:rPr>
        <w:t xml:space="preserve">Test seed: two organizations, four users, one case per org</w:t>
      </w:r>
    </w:p>
    <w:p>
      <w:pPr>
        <w:pStyle w:val="ListParagraph"/>
        <w:numPr>
          <w:ilvl w:val="0"/>
          <w:numId w:val="2"/>
        </w:numPr>
        <w:spacing w:after="40" w:before="40"/>
      </w:pPr>
      <w:r>
        <w:rPr>
          <w:rFonts w:ascii="Arial" w:cs="Arial" w:eastAsia="Arial" w:hAnsi="Arial"/>
          <w:color w:val="4A4A4A"/>
          <w:sz w:val="20"/>
          <w:szCs w:val="20"/>
        </w:rPr>
        <w:t xml:space="preserve">Tests are isolated: each test creates its own data and cleans up after</w:t>
      </w:r>
    </w:p>
    <w:p>
      <w:pPr>
        <w:pStyle w:val="ListParagraph"/>
        <w:numPr>
          <w:ilvl w:val="0"/>
          <w:numId w:val="2"/>
        </w:numPr>
        <w:spacing w:after="40" w:before="40"/>
      </w:pPr>
      <w:r>
        <w:rPr>
          <w:rFonts w:ascii="Arial" w:cs="Arial" w:eastAsia="Arial" w:hAnsi="Arial"/>
          <w:color w:val="4A4A4A"/>
          <w:sz w:val="20"/>
          <w:szCs w:val="20"/>
        </w:rPr>
        <w:t xml:space="preserve">CI runs on every push to main</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5.2 Test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What is tested</w:t>
            </w:r>
          </w:p>
        </w:tc>
        <w:tc>
          <w:tcPr>
            <w:tcW w:type="dxa" w:w="21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 and session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Middleware rejects unauthenticated requests; session identity extracted correctly; role-based access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Wrong-org access</w:t>
            </w:r>
          </w:p>
        </w:tc>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 from org A cannot read org B data across all 11 tables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RLS enforcement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Client-role DB queries respect org isolation; assignment_events read-only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 workflow</w:t>
            </w:r>
          </w:p>
        </w:tc>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Full happy path: create, publish, accept, check-in, upload, submit, approve</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 gate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Submit rejected 422 when evidence unverified; passes when verified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Geo gate</w:t>
            </w:r>
          </w:p>
        </w:tc>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Submit rejected 422 when no valid check-in; passes when valid; skipped when no geo</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RPC atomicity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Simulated mid-RPC failure leaves zero partial state; retry produces correct result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Append-only event trigger</w:t>
            </w:r>
          </w:p>
        </w:tc>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UPDATE raises exception; DELETE raises exception; INSERT succeeds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62828"/>
                <w:sz w:val="18"/>
                <w:szCs w:val="18"/>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 idempotency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Same key within 24h returns same evidence_file_id; new key creates new row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8"/>
                <w:szCs w:val="18"/>
              </w:rPr>
              <w:t xml:space="preserve">P1</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Approve and reject</w:t>
            </w:r>
          </w:p>
        </w:tc>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Status transitions correct; event appended; partial failure surfaced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65100"/>
                <w:sz w:val="18"/>
                <w:szCs w:val="18"/>
              </w:rPr>
              <w:t xml:space="preserve">P1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Snapshot immutability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on immutable requirement fields returns 400; mutable fields return 200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8"/>
                <w:szCs w:val="18"/>
              </w:rPr>
              <w:t xml:space="preserve">P1</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6. Error Handling Standards</w:t>
      </w:r>
    </w:p>
    <w:p>
      <w:pPr>
        <w:pStyle w:val="Heading2"/>
        <w:spacing w:after="100" w:before="280"/>
      </w:pPr>
      <w:r>
        <w:rPr>
          <w:rFonts w:ascii="Arial" w:cs="Arial" w:eastAsia="Arial" w:hAnsi="Arial"/>
          <w:b/>
          <w:bCs/>
          <w:color w:val="2E6DA4"/>
          <w:sz w:val="26"/>
          <w:szCs w:val="26"/>
        </w:rPr>
        <w:t xml:space="preserve">6.1 Error Response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5160"/>
      </w:tblGrid>
      <w:tr>
        <w:trPr>
          <w:tblHeader/>
        </w:trPr>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1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error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mandatory_evidence_incomplete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message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All mandatory evidence must be verified before submission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details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 unmet_requirements: [{id, label}] }</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request_id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UUID</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ea4f8aaf-3a3e-4850-a379-6a1a53e236a0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code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EVIDENCE_INCOMPLETE</w:t>
            </w:r>
          </w:p>
        </w:tc>
      </w:tr>
    </w:tbl>
    <w:p>
      <w:pPr>
        <w:spacing w:after="0" w:before="40"/>
      </w:pPr>
      <w:r>
        <w:t xml:space="preserve"/>
      </w:r>
    </w:p>
    <w:p>
      <w:pPr>
        <w:spacing w:after="80" w:before="60"/>
      </w:pPr>
      <w:r>
        <w:rPr>
          <w:rFonts w:ascii="Arial" w:cs="Arial" w:eastAsia="Arial" w:hAnsi="Arial"/>
          <w:color w:val="4A4A4A"/>
          <w:sz w:val="20"/>
          <w:szCs w:val="20"/>
        </w:rPr>
        <w:t xml:space="preserve">request_id is added to all error responses in Phase 2.1 and must match the x-request-id response header.</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6.2 HTTP Status Code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c>
          <w:tcPr>
            <w:tcW w:type="dxa" w:w="37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Client 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200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Successful GET, PATCH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Use response data</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201</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Successful POST creating a resource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Store resource ID; use response data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400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Validation error, immutable field, bad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Fix request; do not retry as-is</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401</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 valid session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Refresh token; retry once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403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Wrong role or wrong org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Do not retry; surface to user</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404</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Resource not found in this org</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Do not retry; surface to user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409</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Conflict — resource already exists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Treat as success for idempotent ops</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422</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Business rule violation (geo gate, evidence gate)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Fix condition; retry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500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Unexpected error or partial transaction failure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with backoff up to 3 times</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503</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Service unavailable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with backoff up to 5 times</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6.3 Operational Escalation</w:t>
      </w:r>
    </w:p>
    <w:p>
      <w:pPr>
        <w:spacing w:after="80" w:before="60"/>
      </w:pPr>
      <w:r>
        <w:rPr>
          <w:rFonts w:ascii="Arial" w:cs="Arial" w:eastAsia="Arial" w:hAnsi="Arial"/>
          <w:color w:val="4A4A4A"/>
          <w:sz w:val="20"/>
          <w:szCs w:val="20"/>
        </w:rPr>
        <w:t xml:space="preserve">These log events require immediate investigation — they indicate system state inconsistency:</w:t>
      </w:r>
    </w:p>
    <w:p>
      <w:pPr>
        <w:pStyle w:val="ListParagraph"/>
        <w:numPr>
          <w:ilvl w:val="0"/>
          <w:numId w:val="2"/>
        </w:numPr>
        <w:spacing w:after="40" w:before="40"/>
      </w:pPr>
      <w:r>
        <w:rPr>
          <w:rFonts w:ascii="Arial" w:cs="Arial" w:eastAsia="Arial" w:hAnsi="Arial"/>
          <w:color w:val="4A4A4A"/>
          <w:sz w:val="20"/>
          <w:szCs w:val="20"/>
        </w:rPr>
        <w:t xml:space="preserve">submission.rpc_failed — DB transaction failed; submission not created</w:t>
      </w:r>
    </w:p>
    <w:p>
      <w:pPr>
        <w:pStyle w:val="ListParagraph"/>
        <w:numPr>
          <w:ilvl w:val="0"/>
          <w:numId w:val="2"/>
        </w:numPr>
        <w:spacing w:after="40" w:before="40"/>
      </w:pPr>
      <w:r>
        <w:rPr>
          <w:rFonts w:ascii="Arial" w:cs="Arial" w:eastAsia="Arial" w:hAnsi="Arial"/>
          <w:color w:val="4A4A4A"/>
          <w:sz w:val="20"/>
          <w:szCs w:val="20"/>
        </w:rPr>
        <w:t xml:space="preserve">assignment.partial_update_failed — assignment and case in mismatched states</w:t>
      </w:r>
    </w:p>
    <w:p>
      <w:pPr>
        <w:pStyle w:val="ListParagraph"/>
        <w:numPr>
          <w:ilvl w:val="0"/>
          <w:numId w:val="2"/>
        </w:numPr>
        <w:spacing w:after="40" w:before="40"/>
      </w:pPr>
      <w:r>
        <w:rPr>
          <w:rFonts w:ascii="Arial" w:cs="Arial" w:eastAsia="Arial" w:hAnsi="Arial"/>
          <w:color w:val="4A4A4A"/>
          <w:sz w:val="20"/>
          <w:szCs w:val="20"/>
        </w:rPr>
        <w:t xml:space="preserve">webhook.no_evidence_row — storage object with no matching evidence_files row</w:t>
      </w:r>
    </w:p>
    <w:p>
      <w:pPr>
        <w:pStyle w:val="ListParagraph"/>
        <w:numPr>
          <w:ilvl w:val="0"/>
          <w:numId w:val="2"/>
        </w:numPr>
        <w:spacing w:after="40" w:before="40"/>
      </w:pPr>
      <w:r>
        <w:rPr>
          <w:rFonts w:ascii="Arial" w:cs="Arial" w:eastAsia="Arial" w:hAnsi="Arial"/>
          <w:color w:val="4A4A4A"/>
          <w:sz w:val="20"/>
          <w:szCs w:val="20"/>
        </w:rPr>
        <w:t xml:space="preserve">webhook.file_rejected — evidence uploaded but failed validation</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7. Phase 3 Readiness Gates</w:t>
      </w:r>
    </w:p>
    <w:p>
      <w:pPr>
        <w:spacing w:after="80" w:before="60"/>
      </w:pPr>
      <w:r>
        <w:rPr>
          <w:rFonts w:ascii="Arial" w:cs="Arial" w:eastAsia="Arial" w:hAnsi="Arial"/>
          <w:color w:val="4A4A4A"/>
          <w:sz w:val="20"/>
          <w:szCs w:val="20"/>
        </w:rPr>
        <w:t xml:space="preserve">Phase 3 does not begin until all six gates are passed. Each has a verifiable pass condition. PM and architect co-sign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1  —  </w:t>
            </w:r>
            <w:r>
              <w:rPr>
                <w:rFonts w:ascii="Arial" w:cs="Arial" w:eastAsia="Arial" w:hAnsi="Arial"/>
                <w:b/>
                <w:bCs/>
                <w:color w:val="1A237E"/>
                <w:sz w:val="18"/>
                <w:szCs w:val="18"/>
              </w:rPr>
              <w:t xml:space="preserve">Transaction Integrity</w:t>
            </w:r>
          </w:p>
          <w:p>
            <w:pPr>
              <w:spacing w:after="20" w:before="0"/>
            </w:pPr>
            <w:r>
              <w:rPr>
                <w:rFonts w:ascii="Arial" w:cs="Arial" w:eastAsia="Arial" w:hAnsi="Arial"/>
                <w:color w:val="4A4A4A"/>
                <w:sz w:val="20"/>
                <w:szCs w:val="20"/>
              </w:rPr>
              <w:t xml:space="preserve">•  Migration 011 (Postgres RPC) applied and verified in Supabase</w:t>
            </w:r>
          </w:p>
          <w:p>
            <w:pPr>
              <w:spacing w:after="20" w:before="0"/>
            </w:pPr>
            <w:r>
              <w:rPr>
                <w:rFonts w:ascii="Arial" w:cs="Arial" w:eastAsia="Arial" w:hAnsi="Arial"/>
                <w:color w:val="4A4A4A"/>
                <w:sz w:val="20"/>
                <w:szCs w:val="20"/>
              </w:rPr>
              <w:t xml:space="preserve">•  POST /api/submissions calls RPC after pre-flight gates</w:t>
            </w:r>
          </w:p>
          <w:p>
            <w:pPr>
              <w:spacing w:after="20" w:before="0"/>
            </w:pPr>
            <w:r>
              <w:rPr>
                <w:rFonts w:ascii="Arial" w:cs="Arial" w:eastAsia="Arial" w:hAnsi="Arial"/>
                <w:color w:val="4A4A4A"/>
                <w:sz w:val="20"/>
                <w:szCs w:val="20"/>
              </w:rPr>
              <w:t xml:space="preserve">•  Automated test: simulated RPC failure leaves zero partial state</w:t>
            </w:r>
          </w:p>
          <w:p>
            <w:pPr>
              <w:spacing w:after="20" w:before="0"/>
            </w:pPr>
            <w:r>
              <w:rPr>
                <w:rFonts w:ascii="Arial" w:cs="Arial" w:eastAsia="Arial" w:hAnsi="Arial"/>
                <w:color w:val="4A4A4A"/>
                <w:sz w:val="20"/>
                <w:szCs w:val="20"/>
              </w:rPr>
              <w:t xml:space="preserve">•  Approve and reject wrapped in explicit transactions</w:t>
            </w:r>
          </w:p>
          <w:p>
            <w:pPr>
              <w:spacing w:after="20" w:before="0"/>
            </w:pPr>
            <w:r>
              <w:rPr>
                <w:rFonts w:ascii="Arial" w:cs="Arial" w:eastAsia="Arial" w:hAnsi="Arial"/>
                <w:color w:val="4A4A4A"/>
                <w:sz w:val="20"/>
                <w:szCs w:val="20"/>
              </w:rPr>
              <w:t xml:space="preserve">•  No multi-step write exists without transaction protection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2  —  </w:t>
            </w:r>
            <w:r>
              <w:rPr>
                <w:rFonts w:ascii="Arial" w:cs="Arial" w:eastAsia="Arial" w:hAnsi="Arial"/>
                <w:b/>
                <w:bCs/>
                <w:color w:val="1A237E"/>
                <w:sz w:val="18"/>
                <w:szCs w:val="18"/>
              </w:rPr>
              <w:t xml:space="preserve">Observability</w:t>
            </w:r>
          </w:p>
          <w:p>
            <w:pPr>
              <w:spacing w:after="20" w:before="0"/>
            </w:pPr>
            <w:r>
              <w:rPr>
                <w:rFonts w:ascii="Arial" w:cs="Arial" w:eastAsia="Arial" w:hAnsi="Arial"/>
                <w:color w:val="4A4A4A"/>
                <w:sz w:val="20"/>
                <w:szCs w:val="20"/>
              </w:rPr>
              <w:t xml:space="preserve">•  src/lib/logger.ts exists with structured JSON output</w:t>
            </w:r>
          </w:p>
          <w:p>
            <w:pPr>
              <w:spacing w:after="20" w:before="0"/>
            </w:pPr>
            <w:r>
              <w:rPr>
                <w:rFonts w:ascii="Arial" w:cs="Arial" w:eastAsia="Arial" w:hAnsi="Arial"/>
                <w:color w:val="4A4A4A"/>
                <w:sz w:val="20"/>
                <w:szCs w:val="20"/>
              </w:rPr>
              <w:t xml:space="preserve">•  Request IDs generated in middleware and returned in all responses and errors</w:t>
            </w:r>
          </w:p>
          <w:p>
            <w:pPr>
              <w:spacing w:after="20" w:before="0"/>
            </w:pPr>
            <w:r>
              <w:rPr>
                <w:rFonts w:ascii="Arial" w:cs="Arial" w:eastAsia="Arial" w:hAnsi="Arial"/>
                <w:color w:val="4A4A4A"/>
                <w:sz w:val="20"/>
                <w:szCs w:val="20"/>
              </w:rPr>
              <w:t xml:space="preserve">•  All 15 operational stream events logged at the correct level</w:t>
            </w:r>
          </w:p>
          <w:p>
            <w:pPr>
              <w:spacing w:after="20" w:before="0"/>
            </w:pPr>
            <w:r>
              <w:rPr>
                <w:rFonts w:ascii="Arial" w:cs="Arial" w:eastAsia="Arial" w:hAnsi="Arial"/>
                <w:color w:val="4A4A4A"/>
                <w:sz w:val="20"/>
                <w:szCs w:val="20"/>
              </w:rPr>
              <w:t xml:space="preserve">•  Logs are searchable in Supabase dashboard or external log tool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3  —  </w:t>
            </w:r>
            <w:r>
              <w:rPr>
                <w:rFonts w:ascii="Arial" w:cs="Arial" w:eastAsia="Arial" w:hAnsi="Arial"/>
                <w:b/>
                <w:bCs/>
                <w:color w:val="1A237E"/>
                <w:sz w:val="18"/>
                <w:szCs w:val="18"/>
              </w:rPr>
              <w:t xml:space="preserve">Automated Test Suite</w:t>
            </w:r>
          </w:p>
          <w:p>
            <w:pPr>
              <w:spacing w:after="20" w:before="0"/>
            </w:pPr>
            <w:r>
              <w:rPr>
                <w:rFonts w:ascii="Arial" w:cs="Arial" w:eastAsia="Arial" w:hAnsi="Arial"/>
                <w:color w:val="4A4A4A"/>
                <w:sz w:val="20"/>
                <w:szCs w:val="20"/>
              </w:rPr>
              <w:t xml:space="preserve">•  Vitest test suite runs without manual intervention</w:t>
            </w:r>
          </w:p>
          <w:p>
            <w:pPr>
              <w:spacing w:after="20" w:before="0"/>
            </w:pPr>
            <w:r>
              <w:rPr>
                <w:rFonts w:ascii="Arial" w:cs="Arial" w:eastAsia="Arial" w:hAnsi="Arial"/>
                <w:color w:val="4A4A4A"/>
                <w:sz w:val="20"/>
                <w:szCs w:val="20"/>
              </w:rPr>
              <w:t xml:space="preserve">•  All P0 tests pass: auth, wrong-org, RLS, submission workflow, evidence gate, geo gate, RPC atomicity, event trigger</w:t>
            </w:r>
          </w:p>
          <w:p>
            <w:pPr>
              <w:spacing w:after="20" w:before="0"/>
            </w:pPr>
            <w:r>
              <w:rPr>
                <w:rFonts w:ascii="Arial" w:cs="Arial" w:eastAsia="Arial" w:hAnsi="Arial"/>
                <w:color w:val="4A4A4A"/>
                <w:sz w:val="20"/>
                <w:szCs w:val="20"/>
              </w:rPr>
              <w:t xml:space="preserve">•  Test suite runs on every push to main via CI</w:t>
            </w:r>
          </w:p>
          <w:p>
            <w:pPr>
              <w:spacing w:after="20" w:before="0"/>
            </w:pPr>
            <w:r>
              <w:rPr>
                <w:rFonts w:ascii="Arial" w:cs="Arial" w:eastAsia="Arial" w:hAnsi="Arial"/>
                <w:color w:val="4A4A4A"/>
                <w:sz w:val="20"/>
                <w:szCs w:val="20"/>
              </w:rPr>
              <w:t xml:space="preserve">•  Zero flaky tests in the P0 suite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4  —  </w:t>
            </w:r>
            <w:r>
              <w:rPr>
                <w:rFonts w:ascii="Arial" w:cs="Arial" w:eastAsia="Arial" w:hAnsi="Arial"/>
                <w:b/>
                <w:bCs/>
                <w:color w:val="1A237E"/>
                <w:sz w:val="18"/>
                <w:szCs w:val="18"/>
              </w:rPr>
              <w:t xml:space="preserve">Operational Visibility</w:t>
            </w:r>
          </w:p>
          <w:p>
            <w:pPr>
              <w:spacing w:after="20" w:before="0"/>
            </w:pPr>
            <w:r>
              <w:rPr>
                <w:rFonts w:ascii="Arial" w:cs="Arial" w:eastAsia="Arial" w:hAnsi="Arial"/>
                <w:color w:val="4A4A4A"/>
                <w:sz w:val="20"/>
                <w:szCs w:val="20"/>
              </w:rPr>
              <w:t xml:space="preserve">•  GET /api/admin/evidence-files returns stuck uploads</w:t>
            </w:r>
          </w:p>
          <w:p>
            <w:pPr>
              <w:spacing w:after="20" w:before="0"/>
            </w:pPr>
            <w:r>
              <w:rPr>
                <w:rFonts w:ascii="Arial" w:cs="Arial" w:eastAsia="Arial" w:hAnsi="Arial"/>
                <w:color w:val="4A4A4A"/>
                <w:sz w:val="20"/>
                <w:szCs w:val="20"/>
              </w:rPr>
              <w:t xml:space="preserve">•  Enterprise dashboard shows pending evidence indicator</w:t>
            </w:r>
          </w:p>
          <w:p>
            <w:pPr>
              <w:spacing w:after="20" w:before="0"/>
            </w:pPr>
            <w:r>
              <w:rPr>
                <w:rFonts w:ascii="Arial" w:cs="Arial" w:eastAsia="Arial" w:hAnsi="Arial"/>
                <w:color w:val="4A4A4A"/>
                <w:sz w:val="20"/>
                <w:szCs w:val="20"/>
              </w:rPr>
              <w:t xml:space="preserve">•  Failed uploads older than 60 minutes surfaced without manual DB query</w:t>
            </w:r>
          </w:p>
          <w:p>
            <w:pPr>
              <w:spacing w:after="20" w:before="0"/>
            </w:pPr>
            <w:r>
              <w:rPr>
                <w:rFonts w:ascii="Arial" w:cs="Arial" w:eastAsia="Arial" w:hAnsi="Arial"/>
                <w:color w:val="4A4A4A"/>
                <w:sz w:val="20"/>
                <w:szCs w:val="20"/>
              </w:rPr>
              <w:t xml:space="preserve">•  webhook.no_evidence_row events identifiable in logs within 5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5  —  </w:t>
            </w:r>
            <w:r>
              <w:rPr>
                <w:rFonts w:ascii="Arial" w:cs="Arial" w:eastAsia="Arial" w:hAnsi="Arial"/>
                <w:b/>
                <w:bCs/>
                <w:color w:val="1A237E"/>
                <w:sz w:val="18"/>
                <w:szCs w:val="18"/>
              </w:rPr>
              <w:t xml:space="preserve">Documentation Completeness</w:t>
            </w:r>
          </w:p>
          <w:p>
            <w:pPr>
              <w:spacing w:after="20" w:before="0"/>
            </w:pPr>
            <w:r>
              <w:rPr>
                <w:rFonts w:ascii="Arial" w:cs="Arial" w:eastAsia="Arial" w:hAnsi="Arial"/>
                <w:color w:val="4A4A4A"/>
                <w:sz w:val="20"/>
                <w:szCs w:val="20"/>
              </w:rPr>
              <w:t xml:space="preserve">•  README reflects actual current system state</w:t>
            </w:r>
          </w:p>
          <w:p>
            <w:pPr>
              <w:spacing w:after="20" w:before="0"/>
            </w:pPr>
            <w:r>
              <w:rPr>
                <w:rFonts w:ascii="Arial" w:cs="Arial" w:eastAsia="Arial" w:hAnsi="Arial"/>
                <w:color w:val="4A4A4A"/>
                <w:sz w:val="20"/>
                <w:szCs w:val="20"/>
              </w:rPr>
              <w:t xml:space="preserve">•  ADR-001 through ADR-004 exist as markdown files in docs/adr/</w:t>
            </w:r>
          </w:p>
          <w:p>
            <w:pPr>
              <w:spacing w:after="20" w:before="0"/>
            </w:pPr>
            <w:r>
              <w:rPr>
                <w:rFonts w:ascii="Arial" w:cs="Arial" w:eastAsia="Arial" w:hAnsi="Arial"/>
                <w:color w:val="4A4A4A"/>
                <w:sz w:val="20"/>
                <w:szCs w:val="20"/>
              </w:rPr>
              <w:t xml:space="preserve">•  PHASE2_EXECUTION.md exists in docs/ as implementation reference</w:t>
            </w:r>
          </w:p>
          <w:p>
            <w:pPr>
              <w:spacing w:after="20" w:before="0"/>
            </w:pPr>
            <w:r>
              <w:rPr>
                <w:rFonts w:ascii="Arial" w:cs="Arial" w:eastAsia="Arial" w:hAnsi="Arial"/>
                <w:color w:val="4A4A4A"/>
                <w:sz w:val="20"/>
                <w:szCs w:val="20"/>
              </w:rPr>
              <w:t xml:space="preserve">•  All ADR decisions are traceable from code comments to ADR sections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60"/>
              <w:bottom w:type="dxa" w:w="120"/>
              <w:right w:type="dxa" w:w="160"/>
            </w:tcMar>
          </w:tcPr>
          <w:p>
            <w:pPr>
              <w:spacing w:after="60" w:before="0"/>
            </w:pPr>
            <w:r>
              <w:rPr>
                <w:rFonts w:ascii="Arial" w:cs="Arial" w:eastAsia="Arial" w:hAnsi="Arial"/>
                <w:b/>
                <w:bCs/>
                <w:color w:val="1A237E"/>
                <w:sz w:val="18"/>
                <w:szCs w:val="18"/>
              </w:rPr>
              <w:t xml:space="preserve">PHASE 3 READINESS GATE 6  —  </w:t>
            </w:r>
            <w:r>
              <w:rPr>
                <w:rFonts w:ascii="Arial" w:cs="Arial" w:eastAsia="Arial" w:hAnsi="Arial"/>
                <w:b/>
                <w:bCs/>
                <w:color w:val="1A237E"/>
                <w:sz w:val="18"/>
                <w:szCs w:val="18"/>
              </w:rPr>
              <w:t xml:space="preserve">Error Handling Completeness</w:t>
            </w:r>
          </w:p>
          <w:p>
            <w:pPr>
              <w:spacing w:after="20" w:before="0"/>
            </w:pPr>
            <w:r>
              <w:rPr>
                <w:rFonts w:ascii="Arial" w:cs="Arial" w:eastAsia="Arial" w:hAnsi="Arial"/>
                <w:color w:val="4A4A4A"/>
                <w:sz w:val="20"/>
                <w:szCs w:val="20"/>
              </w:rPr>
              <w:t xml:space="preserve">•  All routes return request_id in error responses</w:t>
            </w:r>
          </w:p>
          <w:p>
            <w:pPr>
              <w:spacing w:after="20" w:before="0"/>
            </w:pPr>
            <w:r>
              <w:rPr>
                <w:rFonts w:ascii="Arial" w:cs="Arial" w:eastAsia="Arial" w:hAnsi="Arial"/>
                <w:color w:val="4A4A4A"/>
                <w:sz w:val="20"/>
                <w:szCs w:val="20"/>
              </w:rPr>
              <w:t xml:space="preserve">•  All 500-level errors logged with full error context</w:t>
            </w:r>
          </w:p>
          <w:p>
            <w:pPr>
              <w:spacing w:after="20" w:before="0"/>
            </w:pPr>
            <w:r>
              <w:rPr>
                <w:rFonts w:ascii="Arial" w:cs="Arial" w:eastAsia="Arial" w:hAnsi="Arial"/>
                <w:color w:val="4A4A4A"/>
                <w:sz w:val="20"/>
                <w:szCs w:val="20"/>
              </w:rPr>
              <w:t xml:space="preserve">•  Error response contract from §6.1 is consistent across all routes</w:t>
            </w:r>
          </w:p>
          <w:p>
            <w:pPr>
              <w:spacing w:after="20" w:before="0"/>
            </w:pPr>
            <w:r>
              <w:rPr>
                <w:rFonts w:ascii="Arial" w:cs="Arial" w:eastAsia="Arial" w:hAnsi="Arial"/>
                <w:color w:val="4A4A4A"/>
                <w:sz w:val="20"/>
                <w:szCs w:val="20"/>
              </w:rPr>
              <w:t xml:space="preserve">•  No route silently swallows errors without logging</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8. Implementation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1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docs/adr/ with ADR-001 through ADR-004 as markdown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5</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README updated to reflect Phase 2 complete state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src/lib/logger.ts — structured logger with request ID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2</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Middleware generates and attaches x-request-id</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All 15 critical events logged in routes and webhook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2</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6</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Migration 011_submit_rpc.sql — Postgres RPC</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 calls RPC after pre-flight gates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1</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8</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Approve and reject wrapped in explicit transactions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GET /api/admin/evidence-files — stuck upload visibility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4</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10</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dashboard pending indicator</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Vitest test project setup — test Supabase project + seed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3</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12</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P0 test suite — auth, wrong-org, RLS, workflow, gates, invariants, RPC</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CI configuration — tests run on every push to main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3</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14</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P1 test suite — idempotency, approve/reject, snapshot immutability</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request_id in all error responses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Gate 6</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16</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Evaluations UI shell — human evaluation form on enterprise review queue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Not a Phase 3 gate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2.1 QA sign-off — all six Phase 3 readiness gates verified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 begins</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9. Explicitly Out of Scope for Phase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2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16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Gemini AI evaluation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Requires all six Phase 3 readiness gates first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Async job queue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webhook sufficient; queue needed for AI pipeline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Server-side geo recomputation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client-trust acceptable until AI evaluation wired</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Report generation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Depends on AI evaluation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Push notifications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Separate system concern</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Automated alerting</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Manual log review acceptable in Phase 2.1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Full admin panel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Diagnostic endpoint sufficient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Self-serve signup</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Admin-provisioned users acceptable through Phase 2.1</w:t>
            </w:r>
          </w:p>
        </w:tc>
      </w:tr>
    </w:tbl>
    <w:p>
      <w:pPr>
        <w:spacing w:after="0" w:before="200"/>
      </w:pPr>
      <w:r>
        <w:t xml:space="preserve"/>
      </w:r>
    </w:p>
    <w:p>
      <w:pPr>
        <w:pBdr>
          <w:bottom w:val="single" w:color="2E6DA4" w:sz="6" w:space="1"/>
        </w:pBdr>
        <w:spacing w:after="120" w:before="120"/>
      </w:pPr>
      <w:r>
        <w:t xml:space="preserve"/>
      </w:r>
    </w:p>
    <w:p>
      <w:pPr>
        <w:spacing w:after="0" w:before="160"/>
        <w:jc w:val="center"/>
      </w:pPr>
      <w:r>
        <w:rPr>
          <w:rFonts w:ascii="Arial" w:cs="Arial" w:eastAsia="Arial" w:hAnsi="Arial"/>
          <w:color w:val="888888"/>
          <w:sz w:val="18"/>
          <w:szCs w:val="18"/>
        </w:rPr>
        <w:t xml:space="preserve">ADR-004 v1.1  •  ProofLayer Phase 2.1  •  APPROVED  •  2026-05-22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888888"/>
        <w:sz w:val="16"/>
        <w:szCs w:val="16"/>
      </w:rPr>
      <w:t xml:space="preserve">Confidential — Internal</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026"/>
      </w:tabs>
      <w:spacing w:after="120" w:before="0"/>
    </w:pPr>
    <w:r>
      <w:rPr>
        <w:rFonts w:ascii="Arial" w:cs="Arial" w:eastAsia="Arial" w:hAnsi="Arial"/>
        <w:b/>
        <w:bCs/>
        <w:color w:val="1B2D4F"/>
        <w:sz w:val="18"/>
        <w:szCs w:val="18"/>
      </w:rPr>
      <w:t xml:space="preserve">ProofLayer</w:t>
    </w:r>
    <w:r>
      <w:rPr>
        <w:rFonts w:ascii="Arial" w:cs="Arial" w:eastAsia="Arial" w:hAnsi="Arial"/>
        <w:color w:val="888888"/>
        <w:sz w:val="18"/>
        <w:szCs w:val="18"/>
      </w:rPr>
      <w:t xml:space="preserve">  |  Architecture Decision Record</w:t>
    </w:r>
    <w:r>
      <w:rPr>
        <w:rFonts w:ascii="Arial" w:cs="Arial" w:eastAsia="Arial" w:hAnsi="Arial"/>
        <w:sz w:val="18"/>
        <w:szCs w:val="18"/>
      </w:rPr>
      <w:t xml:space="preserve">	</w:t>
    </w:r>
    <w:r>
      <w:rPr>
        <w:rFonts w:ascii="Arial" w:cs="Arial" w:eastAsia="Arial" w:hAnsi="Arial"/>
        <w:color w:val="888888"/>
        <w:sz w:val="16"/>
        <w:szCs w:val="16"/>
      </w:rPr>
      <w:t xml:space="preserve">ADR-004 v1.1  •  Phase 2.1 Operational Hardening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D4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2026-05-23T01:53:25.852Z</dcterms:created>
  <dcterms:modified xsi:type="dcterms:W3CDTF">2026-05-23T01:53:25.866Z</dcterms:modified>
</cp:coreProperties>
</file>

<file path=docProps/custom.xml><?xml version="1.0" encoding="utf-8"?>
<Properties xmlns="http://schemas.openxmlformats.org/officeDocument/2006/custom-properties" xmlns:vt="http://schemas.openxmlformats.org/officeDocument/2006/docPropsVTypes"/>
</file>