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00000"/>
          <w:sz w:val="50"/>
        </w:rPr>
        <w:t>Instructor Guide: Teaching the Transformer Paper</w:t>
      </w:r>
    </w:p>
    <w:p>
      <w:pPr>
        <w:spacing w:after="280"/>
      </w:pPr>
      <w:r>
        <w:rPr>
          <w:rFonts w:ascii="Arial" w:hAnsi="Arial"/>
          <w:b w:val="0"/>
          <w:color w:val="5B5F63"/>
          <w:sz w:val="24"/>
        </w:rPr>
        <w:t>A source-grounded 90-minute graduate seminar plan</w:t>
      </w:r>
    </w:p>
    <w:p>
      <w:pPr>
        <w:spacing w:after="280"/>
      </w:pPr>
      <w:r>
        <w:rPr>
          <w:rFonts w:ascii="Arial" w:hAnsi="Arial"/>
          <w:b/>
          <w:color w:val="8E6F3E"/>
          <w:sz w:val="18"/>
        </w:rPr>
        <w:t>TEACHING DOCUMENT</w:t>
      </w:r>
      <w:r>
        <w:rPr>
          <w:rFonts w:ascii="Arial" w:hAnsi="Arial"/>
          <w:b w:val="0"/>
          <w:color w:val="5B5F63"/>
          <w:sz w:val="18"/>
        </w:rPr>
        <w:t xml:space="preserve">  |  Graduate Seminar: Transformer Foundations</w:t>
      </w:r>
    </w:p>
    <w:p>
      <w:pPr>
        <w:pStyle w:val="Heading1"/>
      </w:pPr>
      <w:r>
        <w:t>Purpose and preparation</w:t>
      </w:r>
    </w:p>
    <w:p>
      <w:pPr>
        <w:keepLines w:val="0"/>
      </w:pPr>
      <w:r>
        <w:t>Use the paper to teach architectural reasoning: learners connect a stated limitation of recurrent sequence models to a specific Transformer design choice.</w:t>
      </w:r>
    </w:p>
    <w:p>
      <w:pPr>
        <w:pStyle w:val="ListBullet"/>
        <w:spacing w:after="80"/>
      </w:pPr>
      <w:r>
        <w:t>Assign Sections 1-3 before class</w:t>
      </w:r>
    </w:p>
    <w:p>
      <w:pPr>
        <w:pStyle w:val="ListBullet"/>
        <w:spacing w:after="80"/>
      </w:pPr>
      <w:r>
        <w:t>Ask learners to annotate Figure 1</w:t>
      </w:r>
    </w:p>
    <w:p>
      <w:pPr>
        <w:pStyle w:val="ListBullet"/>
        <w:spacing w:after="80"/>
      </w:pPr>
      <w:r>
        <w:t>Require claims to point to a paper section, equation, table, or figure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Paper is available to every learner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Source ID appears in distributed materials</w:t>
      </w:r>
    </w:p>
    <w:p>
      <w:pPr>
        <w:pStyle w:val="Heading1"/>
      </w:pPr>
      <w:r>
        <w:t>90-minute sequence</w:t>
      </w:r>
    </w:p>
    <w:p>
      <w:pPr>
        <w:keepLines w:val="0"/>
      </w:pPr>
      <w:r>
        <w:t>The sequence moves from individual interpretation to collaborative model tracing and evidence evaluation.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4CC"/>
          <w:left w:val="single" w:sz="5" w:color="D9D4CC"/>
          <w:bottom w:val="single" w:sz="5" w:color="D9D4CC"/>
          <w:right w:val="single" w:sz="5" w:color="D9D4CC"/>
          <w:insideH w:val="single" w:sz="5" w:color="D9D4CC"/>
          <w:insideV w:val="single" w:sz="5" w:color="D9D4C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Minutes</w:t>
            </w:r>
          </w:p>
        </w:tc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Activity</w:t>
            </w:r>
          </w:p>
        </w:tc>
        <w:tc>
          <w:tcPr>
            <w:tcW w:type="dxa" w:w="3264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Evidence of learning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0-10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Retrieval prompt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Individual architecture sketch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10-30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Guided Figure 1 trace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Annotated encoder-decoder path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30-50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Attention equation worked example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Correct Q/K/V interpretation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50-70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Evidence audit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Claim-evidence-boundary table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70-85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Transfer critique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Defensible recommendation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85-90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Exit ticket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One supported claim and one limitation</w:t>
            </w:r>
          </w:p>
        </w:tc>
      </w:tr>
    </w:tbl>
    <w:p>
      <w:pPr>
        <w:spacing w:after="20"/>
      </w:pPr>
    </w:p>
    <w:p>
      <w:pPr>
        <w:pStyle w:val="Heading1"/>
      </w:pPr>
      <w:r>
        <w:t>Facilitation notes</w:t>
      </w:r>
    </w:p>
    <w:p>
      <w:pPr>
        <w:keepLines w:val="0"/>
      </w:pPr>
      <w:r>
        <w:t>Keep attention focused on what the 2017 paper actually reports. Later applications of Transformers require separate sources.</w:t>
      </w:r>
    </w:p>
    <w:p>
      <w:pPr>
        <w:pStyle w:val="ListBullet"/>
        <w:spacing w:after="80"/>
      </w:pPr>
      <w:r>
        <w:t>Distinguish architecture components from training results</w:t>
      </w:r>
    </w:p>
    <w:p>
      <w:pPr>
        <w:pStyle w:val="ListBullet"/>
        <w:spacing w:after="80"/>
      </w:pPr>
      <w:r>
        <w:t>Ask for evidence before accepting broad claims</w:t>
      </w:r>
    </w:p>
    <w:p>
      <w:pPr>
        <w:pStyle w:val="ListBullet"/>
        <w:spacing w:after="80"/>
      </w:pPr>
      <w:r>
        <w:t>Treat BLEU scores as task- and setup-specific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What does the paper establish?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160" w:after="80"/>
      </w:pPr>
      <w:r>
        <w:rPr>
          <w:rFonts w:ascii="Arial" w:hAnsi="Arial"/>
          <w:b/>
          <w:color w:val="000000"/>
          <w:sz w:val="22"/>
        </w:rPr>
        <w:t>What remains an inference or an open validation need?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spacing w:before="60" w:after="160"/>
        <w:pBdr>
          <w:bottom w:val="single" w:sz="6" w:space="2" w:color="D9D4CC"/>
        </w:pBdr>
      </w:pPr>
      <w:r>
        <w:t xml:space="preserve"> </w:t>
      </w:r>
    </w:p>
    <w:p>
      <w:pPr>
        <w:pStyle w:val="Heading2"/>
      </w:pPr>
      <w:r>
        <w:t>Source trace</w:t>
      </w:r>
    </w:p>
    <w:p>
      <w:r>
        <w:rPr>
          <w:rFonts w:ascii="Arial" w:hAnsi="Arial"/>
          <w:b/>
          <w:color w:val="202124"/>
          <w:sz w:val="19"/>
        </w:rPr>
        <w:t xml:space="preserve">Project sources: </w:t>
      </w:r>
      <w:r>
        <w:rPr>
          <w:rFonts w:ascii="Arial" w:hAnsi="Arial"/>
          <w:b w:val="0"/>
          <w:color w:val="5B5F63"/>
          <w:sz w:val="19"/>
        </w:rPr>
        <w:t>SRC-BD984A99928A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B5F63"/>
        <w:sz w:val="17"/>
      </w:rPr>
      <w:t>Instructor-created teaching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8E6F3E"/>
        <w:sz w:val="18"/>
      </w:rPr>
      <w:t>PURDUE UNIVERSITY</w:t>
    </w:r>
    <w:r>
      <w:rPr>
        <w:rFonts w:ascii="Arial" w:hAnsi="Arial"/>
        <w:b w:val="0"/>
        <w:color w:val="5B5F63"/>
        <w:sz w:val="18"/>
      </w:rPr>
      <w:t xml:space="preserve">  |  COURSE DEVELOPMENT PARTNER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8E6F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Instructor Guide: Teaching the Transformer Paper</dc:title>
  <dc:subject>Course Development Partner teaching artifact</dc:subject>
  <dc:creator>Purdue University Course Development Partner</dc:creator>
  <cp:keywords>education, course design, instructor authored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