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Poppins" w:cs="Poppins" w:eastAsia="Poppins" w:hAnsi="Poppins"/>
          <w:b w:val="1"/>
          <w:sz w:val="24"/>
          <w:szCs w:val="24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u w:val="single"/>
          <w:rtl w:val="0"/>
        </w:rPr>
        <w:t xml:space="preserve">Listado y caracterización de las bases de datos disponibles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300" w:lineRule="auto"/>
        <w:ind w:left="0" w:firstLine="0"/>
        <w:rPr>
          <w:rFonts w:ascii="Poppins" w:cs="Poppins" w:eastAsia="Poppins" w:hAnsi="Poppins"/>
          <w:sz w:val="22"/>
          <w:szCs w:val="22"/>
        </w:rPr>
      </w:pPr>
      <w:bookmarkStart w:colFirst="0" w:colLast="0" w:name="_kvomudpp22e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numPr>
          <w:ilvl w:val="0"/>
          <w:numId w:val="4"/>
        </w:numPr>
        <w:shd w:fill="ffffff" w:val="clear"/>
        <w:spacing w:after="80" w:before="300" w:lineRule="auto"/>
        <w:ind w:left="720" w:hanging="360"/>
        <w:rPr/>
      </w:pPr>
      <w:bookmarkStart w:colFirst="0" w:colLast="0" w:name="_vkvpe7llrn4q" w:id="1"/>
      <w:bookmarkEnd w:id="1"/>
      <w:r w:rsidDel="00000000" w:rsidR="00000000" w:rsidRPr="00000000">
        <w:rPr>
          <w:rtl w:val="0"/>
        </w:rPr>
        <w:t xml:space="preserve">Base 1.  BCRA. Central de Deudores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Poppins" w:cs="Poppins" w:eastAsia="Poppins" w:hAnsi="Poppins"/>
          <w:color w:val="333333"/>
        </w:rPr>
      </w:pPr>
      <w:r w:rsidDel="00000000" w:rsidR="00000000" w:rsidRPr="00000000">
        <w:rPr>
          <w:rFonts w:ascii="Poppins" w:cs="Poppins" w:eastAsia="Poppins" w:hAnsi="Poppins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 dispone de información consolidada por clave de identificación fiscal (CUIT, CUIL o CDI) respecto de financiaciones otorgadas por entidades financieras, fideicomisos financieros, entidades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no financieras emisoras de tarjetas de crédito / compra, otros proveedores no financieros de créditos, sociedades de garantía recíproca y fondos de garantía de carácter público y, además, cheques rechazados.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lineRule="auto"/>
        <w:ind w:left="0" w:firstLine="0"/>
        <w:rPr>
          <w:rFonts w:ascii="Poppins" w:cs="Poppins" w:eastAsia="Poppins" w:hAnsi="Poppins"/>
          <w:b w:val="1"/>
          <w:sz w:val="22"/>
          <w:szCs w:val="22"/>
        </w:rPr>
      </w:pPr>
      <w:bookmarkStart w:colFirst="0" w:colLast="0" w:name="_mkr2dnbnaxi7" w:id="2"/>
      <w:bookmarkEnd w:id="2"/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Datos, definiciones de variables y fuentes</w:t>
      </w:r>
    </w:p>
    <w:p w:rsidR="00000000" w:rsidDel="00000000" w:rsidP="00000000" w:rsidRDefault="00000000" w:rsidRPr="00000000" w14:paraId="00000007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 el siguiente</w:t>
      </w:r>
      <w:hyperlink r:id="rId6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Poppins" w:cs="Poppins" w:eastAsia="Poppins" w:hAnsi="Poppins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, se encuentran las definiciones de las variables y las bases de datos en formato (stata), las cuales pueden ser leídas en python haciendo uso del paquete pandas (</w:t>
      </w:r>
      <w:hyperlink r:id="rId8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ver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Poppins" w:cs="Poppins" w:eastAsia="Poppins" w:hAnsi="Poppins"/>
          <w:color w:val="1155cc"/>
          <w:u w:val="singl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información disponible es suministrada por las entidades.</w:t>
      </w:r>
      <w:hyperlink r:id="rId9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http://www.bcra.gob.ar/BCRAyVos/Situacion_Crediticia.asp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Analizar si existe diferencias entre el nivel de morosidad entre empresas y personas, y distinguiendo a las personas por género. Para ello, se deberá definir como mora cuando la situación de la deuda es 3 o más.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5"/>
        </w:numPr>
        <w:ind w:left="720" w:hanging="360"/>
        <w:rPr/>
      </w:pPr>
      <w:bookmarkStart w:colFirst="0" w:colLast="0" w:name="_y4n6jpmjl301" w:id="3"/>
      <w:bookmarkEnd w:id="3"/>
      <w:r w:rsidDel="00000000" w:rsidR="00000000" w:rsidRPr="00000000">
        <w:rPr>
          <w:rtl w:val="0"/>
        </w:rPr>
        <w:t xml:space="preserve">Base 2.  Equipamiento médico</w:t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0"/>
        <w:rPr>
          <w:rFonts w:ascii="Poppins" w:cs="Poppins" w:eastAsia="Poppins" w:hAnsi="Poppins"/>
          <w:b w:val="1"/>
          <w:color w:val="1c8c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sector de equipamiento médico comprende productos vinculados al tratamiento médico y cuidado hospitalario. Se pueden establecer cuatro segmentos: Equipo, Implantes, Insumos y Mobiliarios. Se trata de sector que incorpora un nivel importante de tecnología y valor agregado, por lo que es de interés para las agencias de promoción de exportaciones identificar potenciales destinos de exportación a los efectos de implementar estrategias de inserción comercial más focalizadas y diferenciadas, apoyando a las empresas del sector. </w:t>
      </w:r>
    </w:p>
    <w:p w:rsidR="00000000" w:rsidDel="00000000" w:rsidP="00000000" w:rsidRDefault="00000000" w:rsidRPr="00000000" w14:paraId="00000010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Dado que el sector de la salud es de suma relevancia a nivel global, distintos organismos internacionales revelan diversos indicadores que pueden considerarse como 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proxies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 demanda de equipamientos e insumos médicos en general.</w:t>
      </w:r>
    </w:p>
    <w:p w:rsidR="00000000" w:rsidDel="00000000" w:rsidP="00000000" w:rsidRDefault="00000000" w:rsidRPr="00000000" w14:paraId="00000012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Datos, definiciones de variables y fuentes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 cuenta con datos a nivel de país de 60 variables agrupadas en distintas categorías:</w:t>
      </w:r>
    </w:p>
    <w:p w:rsidR="00000000" w:rsidDel="00000000" w:rsidP="00000000" w:rsidRDefault="00000000" w:rsidRPr="00000000" w14:paraId="00000015">
      <w:pPr>
        <w:ind w:left="1440" w:hanging="360"/>
        <w:rPr>
          <w:rFonts w:ascii="Poppins" w:cs="Poppins" w:eastAsia="Poppins" w:hAnsi="Poppins"/>
          <w:color w:val="1155cc"/>
          <w:u w:val="singl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Importaciones/exportaciones: construidas a partir de datos comerciales (exportaciones/importaciones) de 24 posiciones arancelarias (códigos de clasificación internacional) correspondientes a productos de equipamientos médicos en el período 2013-2018. Fuente:</w:t>
      </w:r>
      <w:hyperlink r:id="rId11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Comtrade UN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 e</w:t>
      </w:r>
      <w:hyperlink r:id="rId13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INDEC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hanging="360"/>
        <w:rPr>
          <w:rFonts w:ascii="Poppins" w:cs="Poppins" w:eastAsia="Poppins" w:hAnsi="Poppins"/>
          <w:color w:val="1155cc"/>
          <w:u w:val="singl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Demográficas, Macroeconómicas y Facilidades Comerciales. Fuente:</w:t>
      </w:r>
      <w:hyperlink r:id="rId15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Banco Mundial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Salud y gastos relacionados a la salud. Fuente:</w:t>
      </w:r>
      <w:hyperlink r:id="rId17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Organización Mundial de la Salud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 variables estás dispuestas dos datasets (</w:t>
      </w:r>
      <w:hyperlink r:id="rId19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&gt; descargar aquí &lt;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1-comex_equip_medico.csv (Importaciones/exportaciones)</w:t>
      </w:r>
    </w:p>
    <w:p w:rsidR="00000000" w:rsidDel="00000000" w:rsidP="00000000" w:rsidRDefault="00000000" w:rsidRPr="00000000" w14:paraId="0000001B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2-general_salud_equip_medico.csv (variables demográficas, macroeconómicas, facilidades comerciales, salud y gastos relacionados)</w:t>
      </w:r>
    </w:p>
    <w:p w:rsidR="00000000" w:rsidDel="00000000" w:rsidP="00000000" w:rsidRDefault="00000000" w:rsidRPr="00000000" w14:paraId="0000001C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identificador común de las unidades de análisis en ambos datasets está dado por el</w:t>
      </w:r>
      <w:hyperlink r:id="rId20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código ISO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 de cada país.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0" w:firstLine="0"/>
        <w:rPr>
          <w:rFonts w:ascii="Poppins" w:cs="Poppins" w:eastAsia="Poppins" w:hAnsi="Poppins"/>
          <w:b w:val="1"/>
          <w:sz w:val="22"/>
          <w:szCs w:val="22"/>
        </w:rPr>
      </w:pPr>
      <w:bookmarkStart w:colFirst="0" w:colLast="0" w:name="_h1oju1611sjq" w:id="4"/>
      <w:bookmarkEnd w:id="4"/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1F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Realizar una segmentación de mercados que permita agrupar a los distintos países como destinos potenciales de las exportaciones argentinas de equipamientos médicos y realizar una caracterización de los mismos. Como punto adicional (optativo) se pretende establecer un ranking de esos potenciales destinos generando un indicador sintético que contemple las variables seleccionadas.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Title"/>
        <w:numPr>
          <w:ilvl w:val="0"/>
          <w:numId w:val="2"/>
        </w:numPr>
        <w:ind w:left="720" w:hanging="360"/>
        <w:rPr/>
      </w:pPr>
      <w:bookmarkStart w:colFirst="0" w:colLast="0" w:name="_h8apgh5y1wni" w:id="5"/>
      <w:bookmarkEnd w:id="5"/>
      <w:r w:rsidDel="00000000" w:rsidR="00000000" w:rsidRPr="00000000">
        <w:rPr>
          <w:rtl w:val="0"/>
        </w:rPr>
        <w:t xml:space="preserve">Base 3.  Precio de venta locales comerciales</w:t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rPr>
          <w:rFonts w:ascii="Poppins" w:cs="Poppins" w:eastAsia="Poppins" w:hAnsi="Poppins"/>
          <w:b w:val="1"/>
          <w:color w:val="1c8c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 pretende predecir el precio de venta de locales comerciales en la Ciudad Autónoma de Buenos Aires (CABA) a partir características propias de estos inmuebles (metros cuadrados, cantidad de ambientes, antiguedad, etc) como así también una serie de variables contextuales (relacionadas con su ubicación) construidas a partir de información georreferenciada (parques, atracciones turísticas, sitios gastronómicos, seguridad, etc.).</w:t>
      </w:r>
    </w:p>
    <w:p w:rsidR="00000000" w:rsidDel="00000000" w:rsidP="00000000" w:rsidRDefault="00000000" w:rsidRPr="00000000" w14:paraId="00000024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Datos, definiciones de variables y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 todos los casos, los datos georreferenciados fueron obtenidos del portal de datos abiertos de la Ciudad Autónoma de Buenos Aires (</w:t>
      </w:r>
      <w:hyperlink r:id="rId22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BA data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). En todos los casos se encuentra en formato</w:t>
      </w:r>
      <w:hyperlink r:id="rId23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shapefile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 (que permite almacenar ubicación geométrica y la información de atributos de las entidades geográficas) los cuales fueron utilizados para construir las variables contextuales y de control.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Poppins" w:cs="Poppins" w:eastAsia="Poppins" w:hAnsi="Poppins"/>
          <w:color w:val="1155cc"/>
          <w:u w:val="singl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Puede descargar el dataset completo haciendo</w:t>
      </w:r>
      <w:hyperlink r:id="rId25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click 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tplk405p05av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Características de los locales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Fuente:</w:t>
      </w:r>
      <w:hyperlink r:id="rId27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https://data.buenosaires.gob.ar/dataset/locales-en-venta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 (correspondientes al año 2018)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Variables:</w:t>
      </w:r>
    </w:p>
    <w:p w:rsidR="00000000" w:rsidDel="00000000" w:rsidP="00000000" w:rsidRDefault="00000000" w:rsidRPr="00000000" w14:paraId="0000002C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antig: antigüedad del local en años</w:t>
      </w:r>
    </w:p>
    <w:p w:rsidR="00000000" w:rsidDel="00000000" w:rsidP="00000000" w:rsidRDefault="00000000" w:rsidRPr="00000000" w14:paraId="0000002D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m2total: total de metros cuadrados</w:t>
      </w:r>
    </w:p>
    <w:p w:rsidR="00000000" w:rsidDel="00000000" w:rsidP="00000000" w:rsidRDefault="00000000" w:rsidRPr="00000000" w14:paraId="0000002E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m2cub: total de metros cuadrados cubiertos</w:t>
      </w:r>
    </w:p>
    <w:p w:rsidR="00000000" w:rsidDel="00000000" w:rsidP="00000000" w:rsidRDefault="00000000" w:rsidRPr="00000000" w14:paraId="0000002F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ambientes: número de ambientes</w:t>
      </w:r>
    </w:p>
    <w:p w:rsidR="00000000" w:rsidDel="00000000" w:rsidP="00000000" w:rsidRDefault="00000000" w:rsidRPr="00000000" w14:paraId="00000030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banios: cantidad de baños</w:t>
      </w:r>
    </w:p>
    <w:p w:rsidR="00000000" w:rsidDel="00000000" w:rsidP="00000000" w:rsidRDefault="00000000" w:rsidRPr="00000000" w14:paraId="00000031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precioUSD: precio en dólares</w:t>
      </w:r>
    </w:p>
    <w:p w:rsidR="00000000" w:rsidDel="00000000" w:rsidP="00000000" w:rsidRDefault="00000000" w:rsidRPr="00000000" w14:paraId="00000032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m2precioUSD: precio en dólares por metro cuadrado</w:t>
      </w:r>
    </w:p>
    <w:p w:rsidR="00000000" w:rsidDel="00000000" w:rsidP="00000000" w:rsidRDefault="00000000" w:rsidRPr="00000000" w14:paraId="00000033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Barrio</w:t>
      </w:r>
    </w:p>
    <w:p w:rsidR="00000000" w:rsidDel="00000000" w:rsidP="00000000" w:rsidRDefault="00000000" w:rsidRPr="00000000" w14:paraId="00000034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Comuna</w:t>
      </w:r>
    </w:p>
    <w:p w:rsidR="00000000" w:rsidDel="00000000" w:rsidP="00000000" w:rsidRDefault="00000000" w:rsidRPr="00000000" w14:paraId="00000035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latitud/longitud: coordenadas geográficas proyectadas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h443b6c3v9r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vmyfkqundvu7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Características contextuales</w:t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 consideran los siguientes datos georreferenciados a los efectos de construir una serie de variables contextuales que pueden influir en el precio de los locales comerciales: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Gastronomía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Listado de restaurantes y establecimientos gastronómicos en la ciudad. (</w:t>
      </w:r>
      <w:hyperlink r:id="rId29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https://data.buenosaires.gob.ar/dataset/oferta-establecimientos-gastronomicos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</w:t>
      </w:r>
    </w:p>
    <w:p w:rsidR="00000000" w:rsidDel="00000000" w:rsidP="00000000" w:rsidRDefault="00000000" w:rsidRPr="00000000" w14:paraId="0000003B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Atracciones Turísticas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Listado de espacios culturales públicos, privados e independientes localizados en la Ciudad de Buenos Aires. Incluye bares, bibliotecas, calesitas, centros culturales, disquerías, espacios de exhibición, espacios de formación, espacios escénicos, espacios feriales, librerías, monumentos y lugares históricos y salas de cine. Se consideran exclusivamente espacios escénicos (por ejemplo, salas de teatros), monumentos y lugares históricos. (</w:t>
      </w:r>
      <w:hyperlink r:id="rId30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https://data.buenosaires.gob.ar/dataset/espacios-culturales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Parques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Límites y ubicación geográfica de los espacios verdes de la Ciudad (jardín, parque, patio recreativo, plaza, plazoleta, cantero y polideportivo). (</w:t>
      </w:r>
      <w:hyperlink r:id="rId31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https://data.buenosaires.gob.ar/dataset/espacios-verdes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</w:t>
      </w:r>
    </w:p>
    <w:p w:rsidR="00000000" w:rsidDel="00000000" w:rsidP="00000000" w:rsidRDefault="00000000" w:rsidRPr="00000000" w14:paraId="0000003D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Distrito Central Financiero-Comercial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Ubicación geográfica del Obelisco, principal monumento de la Ciudad de Buenos Aires.</w:t>
      </w:r>
    </w:p>
    <w:p w:rsidR="00000000" w:rsidDel="00000000" w:rsidP="00000000" w:rsidRDefault="00000000" w:rsidRPr="00000000" w14:paraId="0000003E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Comisarías de la ciudad: Ubicación geográfica de las comisarías de la policía de la ciudad. (</w:t>
      </w:r>
      <w:hyperlink r:id="rId32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https://data.buenosaires.gob.ar/dataset/comisarias-policia-ciudad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</w:t>
      </w:r>
    </w:p>
    <w:p w:rsidR="00000000" w:rsidDel="00000000" w:rsidP="00000000" w:rsidRDefault="00000000" w:rsidRPr="00000000" w14:paraId="0000003F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Delitos: Datos georreferenciados de distintos delitos en la Ciudad de Buenos Aires. Se considerarán exclusivamente robos (con violencia) en el cuarto trimestre del año 2017. (</w:t>
      </w:r>
      <w:hyperlink r:id="rId33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https://data.buenosaires.gob.ar/dataset/delitos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42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comisaria_dista: distancia (metros) a la comisaría más cercana.</w:t>
      </w:r>
    </w:p>
    <w:p w:rsidR="00000000" w:rsidDel="00000000" w:rsidP="00000000" w:rsidRDefault="00000000" w:rsidRPr="00000000" w14:paraId="00000043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obelisco_dista: distancia al Obelisco (proxy de centro financiero)</w:t>
      </w:r>
    </w:p>
    <w:p w:rsidR="00000000" w:rsidDel="00000000" w:rsidP="00000000" w:rsidRDefault="00000000" w:rsidRPr="00000000" w14:paraId="00000044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nrobos: cantidad de robos en una zona de influencia (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buffer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) de 500 metros.</w:t>
      </w:r>
    </w:p>
    <w:p w:rsidR="00000000" w:rsidDel="00000000" w:rsidP="00000000" w:rsidRDefault="00000000" w:rsidRPr="00000000" w14:paraId="00000045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sup_espacio_verde: superficie (en metros cuadrados) de espacios verdes en un  en una zona de influencia (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buffer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) de 1000 metros.</w:t>
      </w:r>
    </w:p>
    <w:p w:rsidR="00000000" w:rsidDel="00000000" w:rsidP="00000000" w:rsidRDefault="00000000" w:rsidRPr="00000000" w14:paraId="00000046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count_gastronomia: cantidad de sitios gastronómicos en una zona de influencia (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buffer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) de 500 metros.</w:t>
      </w:r>
    </w:p>
    <w:p w:rsidR="00000000" w:rsidDel="00000000" w:rsidP="00000000" w:rsidRDefault="00000000" w:rsidRPr="00000000" w14:paraId="00000047">
      <w:pPr>
        <w:ind w:left="10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·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count_culturales: cantidad de atractivos turísticos (espacios escénicos, monumentos y lugares históricos) en una zona de influencia (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buffer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) de 500 metros.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4A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Contar con un modelo adecuado que permita predecir el precio de venta de los locales comerciales de CABA atendiendo a las características propias de cada local así como a las características contextuales. Se requiere que el modelo sea lo suficientemente interpretable como para indagar sobre el impacto de las variables consideradas.</w:t>
      </w:r>
    </w:p>
    <w:p w:rsidR="00000000" w:rsidDel="00000000" w:rsidP="00000000" w:rsidRDefault="00000000" w:rsidRPr="00000000" w14:paraId="0000004B">
      <w:pPr>
        <w:pStyle w:val="Title"/>
        <w:spacing w:after="240" w:before="240" w:lineRule="auto"/>
        <w:jc w:val="both"/>
        <w:rPr/>
      </w:pPr>
      <w:bookmarkStart w:colFirst="0" w:colLast="0" w:name="_ajmzceie9if0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Title"/>
        <w:numPr>
          <w:ilvl w:val="0"/>
          <w:numId w:val="3"/>
        </w:numPr>
        <w:spacing w:after="240" w:before="240" w:lineRule="auto"/>
        <w:ind w:left="720" w:hanging="360"/>
        <w:jc w:val="both"/>
        <w:rPr/>
      </w:pPr>
      <w:bookmarkStart w:colFirst="0" w:colLast="0" w:name="_6gy65fgepacg" w:id="10"/>
      <w:bookmarkEnd w:id="10"/>
      <w:r w:rsidDel="00000000" w:rsidR="00000000" w:rsidRPr="00000000">
        <w:rPr>
          <w:rtl w:val="0"/>
        </w:rPr>
        <w:t xml:space="preserve">Base 4.  PISA 2018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Programa de la OCDE para la Evaluación Internacional de Estudiantes (PISA) examina lo que los estudiantes saben en lectura, matemáticas y ciencias, y qué pueden hacer con lo que saben. Proporciona la evaluación internacional más completa y rigurosa de los resultados del aprendizaje de los estudiantes hasta la fecha. Los resultados de PISA indican la calidad y equidad de los resultados del aprendizaje obtenidos en todo el mundo y permiten a los educadores y a los responsables políticos aprender de las políticas y prácticas aplicadas en otros países. </w:t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Datos, definiciones de variables y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Poppins" w:cs="Poppins" w:eastAsia="Poppins" w:hAnsi="Poppins"/>
          <w:color w:val="333333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 el siguiente link está una descripción más detallada de las variables y sus definiciones </w:t>
      </w:r>
      <w:r w:rsidDel="00000000" w:rsidR="00000000" w:rsidRPr="00000000">
        <w:rPr>
          <w:rFonts w:ascii="Poppins" w:cs="Poppins" w:eastAsia="Poppins" w:hAnsi="Poppins"/>
          <w:color w:val="333333"/>
          <w:rtl w:val="0"/>
        </w:rPr>
        <w:t xml:space="preserve">(</w:t>
      </w:r>
      <w:hyperlink r:id="rId34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https://www.oecd.org/pisa/publications/pisa-2018-results.htm</w:t>
        </w:r>
      </w:hyperlink>
      <w:r w:rsidDel="00000000" w:rsidR="00000000" w:rsidRPr="00000000">
        <w:rPr>
          <w:rFonts w:ascii="Poppins" w:cs="Poppins" w:eastAsia="Poppins" w:hAnsi="Poppin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cuestionarios y las bases de datos en formato (stata), las cuales pueden ser leídas en python haciendo uso del paquete pandas (</w:t>
      </w:r>
      <w:hyperlink r:id="rId35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ver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), se encuentran en el siguiente</w:t>
      </w:r>
      <w:hyperlink r:id="rId36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0" w:before="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Analizar el impacto del uso intensivo de las tecnologías en los resultados escolares.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Title"/>
        <w:numPr>
          <w:ilvl w:val="0"/>
          <w:numId w:val="1"/>
        </w:numPr>
        <w:spacing w:after="240" w:before="240" w:lineRule="auto"/>
        <w:ind w:left="720" w:hanging="360"/>
        <w:rPr/>
      </w:pPr>
      <w:bookmarkStart w:colFirst="0" w:colLast="0" w:name="_l04oo0xesl0m" w:id="11"/>
      <w:bookmarkEnd w:id="11"/>
      <w:r w:rsidDel="00000000" w:rsidR="00000000" w:rsidRPr="00000000">
        <w:rPr>
          <w:rtl w:val="0"/>
        </w:rPr>
        <w:t xml:space="preserve"> Base 5.  Encuesta de Protección Social 2015</w:t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0"/>
        <w:rPr>
          <w:rFonts w:ascii="Poppins" w:cs="Poppins" w:eastAsia="Poppins" w:hAnsi="Poppins"/>
          <w:b w:val="1"/>
          <w:color w:val="1c8ca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Encuesta de Protección Social (EPS) es la mayor y más antigua encuesta longitudinal de tipo panel que existe en Chile, con una muestra de alrededor de 16.000 encuestados distribuidos en todas las regiones del país.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Abarca en un mismo cuestionario la historia laboral y previsional de los encuestados con información detallada en áreas como educación, salud, seguridad social, capacitación laboral, patrimonio y activos, historia familiar e información sobre el hogar. 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resultados de esta encuesta se utilizan en el ámbito académico y en el análisis y diseño de políticas públicas.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ffffff" w:val="clear"/>
        <w:spacing w:after="0" w:before="0" w:lineRule="auto"/>
        <w:ind w:left="0" w:firstLine="0"/>
        <w:rPr>
          <w:rFonts w:ascii="Poppins" w:cs="Poppins" w:eastAsia="Poppins" w:hAnsi="Poppins"/>
        </w:rPr>
      </w:pPr>
      <w:bookmarkStart w:colFirst="0" w:colLast="0" w:name="_a5k2s7bn9bf3" w:id="12"/>
      <w:bookmarkEnd w:id="12"/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Datos, definiciones de variables y fuentes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0" w:before="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 mayor detalle de la encuesta, ver el siguiente</w:t>
      </w:r>
      <w:hyperlink r:id="rId38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before="0" w:lineRule="auto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 el siguiente</w:t>
      </w:r>
      <w:hyperlink r:id="rId40">
        <w:r w:rsidDel="00000000" w:rsidR="00000000" w:rsidRPr="00000000">
          <w:rPr>
            <w:rFonts w:ascii="Poppins" w:cs="Poppins" w:eastAsia="Poppins" w:hAnsi="Poppins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, se encuentran las definiciones de las variables y las bases de datos en formato (stata), las cuales pueden ser leídas en python haciendo uso del paquete pandas (</w:t>
      </w:r>
      <w:hyperlink r:id="rId42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ver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spacing w:after="0" w:before="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0" w:before="0" w:lineRule="auto"/>
        <w:ind w:left="0" w:firstLine="0"/>
        <w:rPr>
          <w:rFonts w:ascii="Poppins" w:cs="Poppins" w:eastAsia="Poppins" w:hAnsi="Poppins"/>
          <w:b w:val="1"/>
          <w:sz w:val="22"/>
          <w:szCs w:val="22"/>
        </w:rPr>
      </w:pPr>
      <w:bookmarkStart w:colFirst="0" w:colLast="0" w:name="_yrjycmw1k916" w:id="13"/>
      <w:bookmarkEnd w:id="13"/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5F">
      <w:pPr>
        <w:spacing w:after="0" w:before="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Estudiar cómo se explican los salarios en función de distintas variables, entre las cuales se debe incluir los años de educación formal.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spacing w:after="80" w:before="300" w:lineRule="auto"/>
      <w:ind w:left="720" w:hanging="360"/>
    </w:pPr>
    <w:rPr>
      <w:rFonts w:ascii="Poppins" w:cs="Poppins" w:eastAsia="Poppins" w:hAnsi="Poppins"/>
      <w:b w:val="1"/>
      <w:color w:val="1c8ca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Qy04NMoDhgxSSe--1t3JrnWovWaFLsmH?usp=sharing" TargetMode="External"/><Relationship Id="rId20" Type="http://schemas.openxmlformats.org/officeDocument/2006/relationships/hyperlink" Target="https://es.wikipedia.org/wiki/ISO_3166-1" TargetMode="External"/><Relationship Id="rId42" Type="http://schemas.openxmlformats.org/officeDocument/2006/relationships/hyperlink" Target="https://pandas.pydata.org/docs/reference/api/pandas.read_stata.html" TargetMode="External"/><Relationship Id="rId41" Type="http://schemas.openxmlformats.org/officeDocument/2006/relationships/hyperlink" Target="https://drive.google.com/drive/folders/1Qy04NMoDhgxSSe--1t3JrnWovWaFLsmH?usp=sharing" TargetMode="External"/><Relationship Id="rId22" Type="http://schemas.openxmlformats.org/officeDocument/2006/relationships/hyperlink" Target="https://data.buenosaires.gob.ar/" TargetMode="External"/><Relationship Id="rId21" Type="http://schemas.openxmlformats.org/officeDocument/2006/relationships/hyperlink" Target="https://es.wikipedia.org/wiki/ISO_3166-1" TargetMode="External"/><Relationship Id="rId24" Type="http://schemas.openxmlformats.org/officeDocument/2006/relationships/hyperlink" Target="https://es.wikipedia.org/wiki/Shapefile" TargetMode="External"/><Relationship Id="rId23" Type="http://schemas.openxmlformats.org/officeDocument/2006/relationships/hyperlink" Target="https://es.wikipedia.org/wiki/Shape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cra.gob.ar/BCRAyVos/Situacion_Crediticia.asp" TargetMode="External"/><Relationship Id="rId26" Type="http://schemas.openxmlformats.org/officeDocument/2006/relationships/hyperlink" Target="https://drive.google.com/drive/folders/1kD5pj_apXIF6p6RN0gzI_1_8et8nYbL-?usp=sharing" TargetMode="External"/><Relationship Id="rId25" Type="http://schemas.openxmlformats.org/officeDocument/2006/relationships/hyperlink" Target="https://drive.google.com/drive/folders/1kD5pj_apXIF6p6RN0gzI_1_8et8nYbL-?usp=sharing" TargetMode="External"/><Relationship Id="rId28" Type="http://schemas.openxmlformats.org/officeDocument/2006/relationships/hyperlink" Target="https://data.buenosaires.gob.ar/dataset/locales-en-venta" TargetMode="External"/><Relationship Id="rId27" Type="http://schemas.openxmlformats.org/officeDocument/2006/relationships/hyperlink" Target="https://data.buenosaires.gob.ar/dataset/locales-en-venta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ktZCEYPdnlsUOoHdgdrEsTUxz5mIdDU?usp=sharing" TargetMode="External"/><Relationship Id="rId29" Type="http://schemas.openxmlformats.org/officeDocument/2006/relationships/hyperlink" Target="https://data.buenosaires.gob.ar/dataset/oferta-establecimientos-gastronomicos" TargetMode="External"/><Relationship Id="rId7" Type="http://schemas.openxmlformats.org/officeDocument/2006/relationships/hyperlink" Target="https://drive.google.com/drive/folders/1cktZCEYPdnlsUOoHdgdrEsTUxz5mIdDU?usp=sharing" TargetMode="External"/><Relationship Id="rId8" Type="http://schemas.openxmlformats.org/officeDocument/2006/relationships/hyperlink" Target="https://pandas.pydata.org/docs/reference/api/pandas.read_stata.html" TargetMode="External"/><Relationship Id="rId31" Type="http://schemas.openxmlformats.org/officeDocument/2006/relationships/hyperlink" Target="https://data.buenosaires.gob.ar/dataset/espacios-verdes" TargetMode="External"/><Relationship Id="rId30" Type="http://schemas.openxmlformats.org/officeDocument/2006/relationships/hyperlink" Target="https://data.buenosaires.gob.ar/dataset/espacios-culturales" TargetMode="External"/><Relationship Id="rId11" Type="http://schemas.openxmlformats.org/officeDocument/2006/relationships/hyperlink" Target="https://comtrade.un.org/" TargetMode="External"/><Relationship Id="rId33" Type="http://schemas.openxmlformats.org/officeDocument/2006/relationships/hyperlink" Target="https://data.buenosaires.gob.ar/dataset/delitos" TargetMode="External"/><Relationship Id="rId10" Type="http://schemas.openxmlformats.org/officeDocument/2006/relationships/hyperlink" Target="http://www.bcra.gob.ar/BCRAyVos/Situacion_Crediticia.asp" TargetMode="External"/><Relationship Id="rId32" Type="http://schemas.openxmlformats.org/officeDocument/2006/relationships/hyperlink" Target="https://data.buenosaires.gob.ar/dataset/comisarias-policia-ciudad" TargetMode="External"/><Relationship Id="rId13" Type="http://schemas.openxmlformats.org/officeDocument/2006/relationships/hyperlink" Target="https://comex.indec.gob.ar/?_ga=2.209984085.1557565824.1635631854-515828744.1635631854#/" TargetMode="External"/><Relationship Id="rId35" Type="http://schemas.openxmlformats.org/officeDocument/2006/relationships/hyperlink" Target="https://pandas.pydata.org/docs/reference/api/pandas.read_stata.html" TargetMode="External"/><Relationship Id="rId12" Type="http://schemas.openxmlformats.org/officeDocument/2006/relationships/hyperlink" Target="https://comtrade.un.org/" TargetMode="External"/><Relationship Id="rId34" Type="http://schemas.openxmlformats.org/officeDocument/2006/relationships/hyperlink" Target="https://www.oecd.org/pisa/publications/pisa-2018-results.htm" TargetMode="External"/><Relationship Id="rId15" Type="http://schemas.openxmlformats.org/officeDocument/2006/relationships/hyperlink" Target="https://datos.bancomundial.org/" TargetMode="External"/><Relationship Id="rId37" Type="http://schemas.openxmlformats.org/officeDocument/2006/relationships/hyperlink" Target="https://drive.google.com/drive/folders/147Zi2t-Z3qwdcD_mDFGXobEVEp_Yppvd?usp=sharing" TargetMode="External"/><Relationship Id="rId14" Type="http://schemas.openxmlformats.org/officeDocument/2006/relationships/hyperlink" Target="https://comex.indec.gob.ar/?_ga=2.209984085.1557565824.1635631854-515828744.1635631854#/" TargetMode="External"/><Relationship Id="rId36" Type="http://schemas.openxmlformats.org/officeDocument/2006/relationships/hyperlink" Target="https://drive.google.com/drive/folders/147Zi2t-Z3qwdcD_mDFGXobEVEp_Yppvd?usp=sharing" TargetMode="External"/><Relationship Id="rId17" Type="http://schemas.openxmlformats.org/officeDocument/2006/relationships/hyperlink" Target="https://www.who.int/data/gho/data/themes/mortality-and-global-health-estimates" TargetMode="External"/><Relationship Id="rId39" Type="http://schemas.openxmlformats.org/officeDocument/2006/relationships/hyperlink" Target="https://www.previsionsocial.gob.cl/sps/biblioteca/encuesta-de-proteccion-social/" TargetMode="External"/><Relationship Id="rId16" Type="http://schemas.openxmlformats.org/officeDocument/2006/relationships/hyperlink" Target="https://datos.bancomundial.org/" TargetMode="External"/><Relationship Id="rId38" Type="http://schemas.openxmlformats.org/officeDocument/2006/relationships/hyperlink" Target="https://www.previsionsocial.gob.cl/sps/biblioteca/encuesta-de-proteccion-social/" TargetMode="External"/><Relationship Id="rId19" Type="http://schemas.openxmlformats.org/officeDocument/2006/relationships/hyperlink" Target="https://drive.google.com/drive/folders/1vnueM52BDQQJtFZmpXiTkYtgq4SZ7cZ5?usp=sharing" TargetMode="External"/><Relationship Id="rId18" Type="http://schemas.openxmlformats.org/officeDocument/2006/relationships/hyperlink" Target="https://www.who.int/data/gho/data/themes/mortality-and-global-health-estima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