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Aprendizaje profundo-TP1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este trabajo practico trabajamos con el dataset PetFinder que también utilizamos en Aprendizaje Supervisado en una anterior competencia de kaggle y tratamos de predecir la cantidad de días que demoran las mascotas en ser adoptadas usando redes neuronales.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 loss se usó categorical_crossentropy, la función de optimización usada fue 'adam' y la métrica calculada fue accuracy. En todas las variables numéricas se le aplico MaxMinScaler.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 probaron 3 modelos distintos: 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Modelo 1: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Utilizaron  las columnas Gender, Color1, Breed1, Age y Fee. La función de activación de la capa oculta que se uso fue Sigmoid y la función de activación para la capa de salida fue softmax.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otras variables que se usaron fueron: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batch_size = 32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epochs = 60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hidden_layer_size = 68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métricas dieron: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Loss = 1.472366925495774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0.3108171820640564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siguiente grafico muestra la cantidad de mascotas que se adoptaron según los días de demora:</w:t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988695</wp:posOffset>
            </wp:positionH>
            <wp:positionV relativeFrom="paragraph">
              <wp:posOffset>23495</wp:posOffset>
            </wp:positionV>
            <wp:extent cx="3800475" cy="24098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Modelo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Utilizaron  las columnas Gender, Color1, Color2, Color3, Sterilized, Health, Breed1, Breed2, Age y Fee. La función de activación de la capa oculta que se uso fue relu y la función de activación para la capa de salida fue softmax.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otras variables que se usaron fueron: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batch_size = 128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epochs = 100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hidden_layer_size = 68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métricas dieron: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Loss =  1.6869108396417953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0.317430317401886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color w:val="212121"/>
          <w:sz w:val="28"/>
          <w:szCs w:val="28"/>
        </w:rPr>
      </w:pPr>
      <w:r w:rsidDel="00000000" w:rsidR="00000000" w:rsidRPr="00000000">
        <w:rPr>
          <w:b w:val="0"/>
          <w:i w:val="0"/>
          <w:smallCaps w:val="0"/>
          <w:color w:val="212121"/>
          <w:sz w:val="28"/>
          <w:szCs w:val="28"/>
          <w:rtl w:val="0"/>
        </w:rPr>
        <w:t xml:space="preserve">El siguiente grafico muestra la cantidad de mascotas que se adoptaron según los días de demora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color w:val="212121"/>
          <w:sz w:val="28"/>
          <w:szCs w:val="28"/>
          <w:rtl w:val="0"/>
        </w:rPr>
        <w:t xml:space="preserve">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1226820</wp:posOffset>
            </wp:positionH>
            <wp:positionV relativeFrom="paragraph">
              <wp:posOffset>561975</wp:posOffset>
            </wp:positionV>
            <wp:extent cx="3781425" cy="229552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Modelo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utilizaron  las columnas Gender, Color1, Color2, Color3, Sterilized, Health, Type, MaturitySize, Breed1, Breed2, Age y Fee. La función de activación de la capa oculta que se uso fue relu y la función de activación para la capa de salida fue softmax.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otras variables que se usaron fueron: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batch_size = 32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epochs = 32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hidden_layer_size = 100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métricas dieron: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Loss =   1.7691300360124502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0.3320736885070801</w:t>
      </w:r>
    </w:p>
    <w:p w:rsidR="00000000" w:rsidDel="00000000" w:rsidP="00000000" w:rsidRDefault="00000000" w:rsidRPr="00000000" w14:paraId="00000046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rFonts w:ascii="Space Mono" w:cs="Space Mono" w:eastAsia="Space Mono" w:hAnsi="Space Mono"/>
          <w:b w:val="0"/>
          <w:color w:val="a31515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rFonts w:ascii="Space Mono" w:cs="Space Mono" w:eastAsia="Space Mono" w:hAnsi="Space Mono"/>
          <w:b w:val="0"/>
          <w:color w:val="a31515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rFonts w:ascii="Space Mono" w:cs="Space Mono" w:eastAsia="Space Mono" w:hAnsi="Space Mono"/>
          <w:b w:val="0"/>
          <w:color w:val="a31515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>
          <w:rFonts w:ascii="Space Mono" w:cs="Space Mono" w:eastAsia="Space Mono" w:hAnsi="Space Mono"/>
          <w:b w:val="0"/>
          <w:color w:val="a31515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>
          <w:rFonts w:ascii="Space Mono" w:cs="Space Mono" w:eastAsia="Space Mono" w:hAnsi="Space Mono"/>
          <w:b w:val="0"/>
          <w:color w:val="a31515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rFonts w:ascii="Space Mono" w:cs="Space Mono" w:eastAsia="Space Mono" w:hAnsi="Space Mono"/>
          <w:b w:val="0"/>
          <w:color w:val="a31515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highlight w:val="yellow"/>
        </w:rPr>
      </w:pPr>
      <w:r w:rsidDel="00000000" w:rsidR="00000000" w:rsidRPr="00000000">
        <w:rPr>
          <w:b w:val="0"/>
          <w:color w:val="000000"/>
          <w:sz w:val="28"/>
          <w:szCs w:val="28"/>
          <w:highlight w:val="yellow"/>
          <w:rtl w:val="0"/>
        </w:rPr>
        <w:t xml:space="preserve">El siguiente grafico muestra la cantidad de mascotas que se adoptaron según los días de demora: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left"/>
        <w:rPr>
          <w:rFonts w:ascii="monospace" w:cs="monospace" w:eastAsia="monospace" w:hAnsi="monospace"/>
          <w:b w:val="0"/>
          <w:i w:val="0"/>
          <w:smallCaps w:val="0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798195</wp:posOffset>
            </wp:positionH>
            <wp:positionV relativeFrom="paragraph">
              <wp:posOffset>635</wp:posOffset>
            </wp:positionV>
            <wp:extent cx="3762375" cy="2343150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ospace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