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8.png" ContentType="image/png"/>
  <Override PartName="/word/media/rId42.png" ContentType="image/png"/>
  <Override PartName="/word/media/rId46.png" ContentType="image/png"/>
  <Override PartName="/word/media/rId50.png" ContentType="image/png"/>
  <Override PartName="/word/media/rId57.png" ContentType="image/png"/>
  <Override PartName="/word/media/rId61.png" ContentType="image/png"/>
  <Override PartName="/word/media/rId65.png" ContentType="image/png"/>
  <Override PartName="/word/media/rId21.png" ContentType="image/png"/>
  <Override PartName="/word/media/rId31.png" ContentType="image/png"/>
  <Override PartName="/word/media/rId35.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
          <w:bCs/>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9"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BodyText"/>
      </w:pPr>
      <w:r>
        <w:rPr>
          <w:b/>
          <w:bCs/>
        </w:rPr>
        <w:t xml:space="preserve">Table 2:</w:t>
      </w:r>
      <w:r>
        <w:t xml:space="preserve"> </w:t>
      </w: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r>
        <w:t xml:space="preserve"> </w:t>
      </w:r>
      <w:r>
        <w:drawing>
          <wp:inline>
            <wp:extent cx="3211926" cy="1598278"/>
            <wp:effectExtent b="0" l="0" r="0" t="0"/>
            <wp:docPr descr=""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bookmarkEnd w:id="34"/>
    <w:bookmarkStart w:id="41"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BodyText"/>
      </w:pPr>
      <w:r>
        <w:rPr>
          <w:b/>
          <w:bCs/>
        </w:rPr>
        <w:t xml:space="preserve">Table 3:</w:t>
      </w:r>
      <w:r>
        <w:t xml:space="preserve"> </w:t>
      </w:r>
      <w:r>
        <w:t xml:space="preserve">Summary of duration of discrete vessel events at each site.</w:t>
      </w:r>
      <w:r>
        <w:t xml:space="preserve"> </w:t>
      </w:r>
      <w:r>
        <w:drawing>
          <wp:inline>
            <wp:extent cx="4103273" cy="706931"/>
            <wp:effectExtent b="0" l="0" r="0" t="0"/>
            <wp:docPr descr="" title="" id="36" name="Picture"/>
            <a:graphic>
              <a:graphicData uri="http://schemas.openxmlformats.org/drawingml/2006/picture">
                <pic:pic>
                  <pic:nvPicPr>
                    <pic:cNvPr descr="images/Table.3.PNG" id="37" name="Picture"/>
                    <pic:cNvPicPr>
                      <a:picLocks noChangeArrowheads="1" noChangeAspect="1"/>
                    </pic:cNvPicPr>
                  </pic:nvPicPr>
                  <pic:blipFill>
                    <a:blip r:embed="rId35"/>
                    <a:stretch>
                      <a:fillRect/>
                    </a:stretch>
                  </pic:blipFill>
                  <pic:spPr bwMode="auto">
                    <a:xfrm>
                      <a:off x="0" y="0"/>
                      <a:ext cx="4103273" cy="706931"/>
                    </a:xfrm>
                    <a:prstGeom prst="rect">
                      <a:avLst/>
                    </a:prstGeom>
                    <a:noFill/>
                    <a:ln w="9525">
                      <a:noFill/>
                      <a:headEnd/>
                      <a:tailEnd/>
                    </a:ln>
                  </pic:spPr>
                </pic:pic>
              </a:graphicData>
            </a:graphic>
          </wp:inline>
        </w:drawing>
      </w:r>
    </w:p>
    <w:p>
      <w:pPr>
        <w:pStyle w:val="BodyText"/>
      </w:pPr>
      <w:r>
        <w:br/>
      </w:r>
    </w:p>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9" name="Picture"/>
            <a:graphic>
              <a:graphicData uri="http://schemas.openxmlformats.org/drawingml/2006/picture">
                <pic:pic>
                  <pic:nvPicPr>
                    <pic:cNvPr descr="images/Figure.2.PNG" id="40" name="Picture"/>
                    <pic:cNvPicPr>
                      <a:picLocks noChangeArrowheads="1" noChangeAspect="1"/>
                    </pic:cNvPicPr>
                  </pic:nvPicPr>
                  <pic:blipFill>
                    <a:blip r:embed="rId38"/>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41"/>
    <w:bookmarkStart w:id="45"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3" name="Picture"/>
            <a:graphic>
              <a:graphicData uri="http://schemas.openxmlformats.org/drawingml/2006/picture">
                <pic:pic>
                  <pic:nvPicPr>
                    <pic:cNvPr descr="images/Figure.3.PNG" id="44" name="Picture"/>
                    <pic:cNvPicPr>
                      <a:picLocks noChangeArrowheads="1" noChangeAspect="1"/>
                    </pic:cNvPicPr>
                  </pic:nvPicPr>
                  <pic:blipFill>
                    <a:blip r:embed="rId42"/>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5"/>
    <w:bookmarkStart w:id="49"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7" name="Picture"/>
            <a:graphic>
              <a:graphicData uri="http://schemas.openxmlformats.org/drawingml/2006/picture">
                <pic:pic>
                  <pic:nvPicPr>
                    <pic:cNvPr descr="images/Figure.4.PNG" id="48" name="Picture"/>
                    <pic:cNvPicPr>
                      <a:picLocks noChangeArrowheads="1" noChangeAspect="1"/>
                    </pic:cNvPicPr>
                  </pic:nvPicPr>
                  <pic:blipFill>
                    <a:blip r:embed="rId46"/>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9"/>
    <w:bookmarkStart w:id="53"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51" name="Picture"/>
            <a:graphic>
              <a:graphicData uri="http://schemas.openxmlformats.org/drawingml/2006/picture">
                <pic:pic>
                  <pic:nvPicPr>
                    <pic:cNvPr descr="images/Figure.5.PNG" id="52" name="Picture"/>
                    <pic:cNvPicPr>
                      <a:picLocks noChangeArrowheads="1" noChangeAspect="1"/>
                    </pic:cNvPicPr>
                  </pic:nvPicPr>
                  <pic:blipFill>
                    <a:blip r:embed="rId50"/>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3"/>
    <w:bookmarkStart w:id="60"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BodyText"/>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r>
        <w:t xml:space="preserve"> </w:t>
      </w:r>
      <w:r>
        <w:drawing>
          <wp:inline>
            <wp:extent cx="4641156" cy="1690487"/>
            <wp:effectExtent b="0" l="0" r="0" t="0"/>
            <wp:docPr descr="" title="" id="55" name="Picture"/>
            <a:graphic>
              <a:graphicData uri="http://schemas.openxmlformats.org/drawingml/2006/picture">
                <pic:pic>
                  <pic:nvPicPr>
                    <pic:cNvPr descr="images/Table.4.PNG" id="56" name="Picture"/>
                    <pic:cNvPicPr>
                      <a:picLocks noChangeArrowheads="1" noChangeAspect="1"/>
                    </pic:cNvPicPr>
                  </pic:nvPicPr>
                  <pic:blipFill>
                    <a:blip r:embed="rId54"/>
                    <a:stretch>
                      <a:fillRect/>
                    </a:stretch>
                  </pic:blipFill>
                  <pic:spPr bwMode="auto">
                    <a:xfrm>
                      <a:off x="0" y="0"/>
                      <a:ext cx="4641156" cy="1690487"/>
                    </a:xfrm>
                    <a:prstGeom prst="rect">
                      <a:avLst/>
                    </a:prstGeom>
                    <a:noFill/>
                    <a:ln w="9525">
                      <a:noFill/>
                      <a:headEnd/>
                      <a:tailEnd/>
                    </a:ln>
                  </pic:spPr>
                </pic:pic>
              </a:graphicData>
            </a:graphic>
          </wp:inline>
        </w:drawing>
      </w:r>
    </w:p>
    <w:p>
      <w:pPr>
        <w:pStyle w:val="CaptionedFigure"/>
      </w:pPr>
      <w:r>
        <w:drawing>
          <wp:inline>
            <wp:extent cx="4787152" cy="4203166"/>
            <wp:effectExtent b="0" l="0" r="0" t="0"/>
            <wp:docPr descr="Figure 6: Daily vessel duration (hour) of vessels estimated within park boundaries(P_{in} &gt; 0.75) T = transit, M = maneuver." title="" id="58" name="Picture"/>
            <a:graphic>
              <a:graphicData uri="http://schemas.openxmlformats.org/drawingml/2006/picture">
                <pic:pic>
                  <pic:nvPicPr>
                    <pic:cNvPr descr="images/Figure.6.PNG" id="59" name="Picture"/>
                    <pic:cNvPicPr>
                      <a:picLocks noChangeArrowheads="1" noChangeAspect="1"/>
                    </pic:cNvPicPr>
                  </pic:nvPicPr>
                  <pic:blipFill>
                    <a:blip r:embed="rId57"/>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60"/>
    <w:bookmarkStart w:id="64"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62" name="Picture"/>
            <a:graphic>
              <a:graphicData uri="http://schemas.openxmlformats.org/drawingml/2006/picture">
                <pic:pic>
                  <pic:nvPicPr>
                    <pic:cNvPr descr="images/Figure.7.PNG" id="63" name="Picture"/>
                    <pic:cNvPicPr>
                      <a:picLocks noChangeArrowheads="1" noChangeAspect="1"/>
                    </pic:cNvPicPr>
                  </pic:nvPicPr>
                  <pic:blipFill>
                    <a:blip r:embed="rId61"/>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t xml:space="preserve">Figure 7: 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4"/>
    <w:bookmarkStart w:id="68"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6" name="Picture"/>
            <a:graphic>
              <a:graphicData uri="http://schemas.openxmlformats.org/drawingml/2006/picture">
                <pic:pic>
                  <pic:nvPicPr>
                    <pic:cNvPr descr="images/Figure.8.PNG" id="67" name="Picture"/>
                    <pic:cNvPicPr>
                      <a:picLocks noChangeArrowheads="1" noChangeAspect="1"/>
                    </pic:cNvPicPr>
                  </pic:nvPicPr>
                  <pic:blipFill>
                    <a:blip r:embed="rId65"/>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t xml:space="preserve">Figure 8: 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8"/>
    <w:bookmarkEnd w:id="69"/>
    <w:bookmarkStart w:id="72" w:name="discussion-and-recommendations"/>
    <w:p>
      <w:pPr>
        <w:pStyle w:val="Heading1"/>
      </w:pPr>
      <w:r>
        <w:t xml:space="preserve">3. Discussion and Recommendations</w:t>
      </w:r>
    </w:p>
    <w:bookmarkStart w:id="70"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70"/>
    <w:bookmarkStart w:id="71"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71"/>
    <w:bookmarkEnd w:id="72"/>
    <w:bookmarkStart w:id="76" w:name="references"/>
    <w:p>
      <w:pPr>
        <w:pStyle w:val="Heading1"/>
      </w:pPr>
      <w:r>
        <w:t xml:space="preserve">References</w:t>
      </w:r>
    </w:p>
    <w:bookmarkStart w:id="75" w:name="refs"/>
    <w:p>
      <w:pPr>
        <w:pStyle w:val="Bibliography"/>
      </w:pPr>
      <w:r>
        <w:t xml:space="preserve">Kline et al. (2020)</w:t>
      </w:r>
    </w:p>
    <w:bookmarkStart w:id="74"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
          <w:iCs/>
        </w:rPr>
        <w:t xml:space="preserve">Marine Policy</w:t>
      </w:r>
      <w:r>
        <w:t xml:space="preserve"> </w:t>
      </w:r>
      <w:r>
        <w:t xml:space="preserve">120: 104138. https://doi.org/</w:t>
      </w:r>
      <w:hyperlink r:id="rId73">
        <w:r>
          <w:rPr>
            <w:rStyle w:val="Hyperlink"/>
          </w:rPr>
          <w:t xml:space="preserve">https://doi.org/10.1016/j.marpol.2020.104138</w:t>
        </w:r>
      </w:hyperlink>
      <w:r>
        <w:t xml:space="preserve">.</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73"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2025-01-15T21:34:44Z</dcterms:created>
  <dcterms:modified xsi:type="dcterms:W3CDTF">2025-01-15T21:34:44Z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