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MODELAGEM DOS DADOS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ESPECIFICAÇÃO DOS REQUISITOS DE INTERFACE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EQUIPE: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Isabelle Ferreira Fernandes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Lucas Daniel Custódio Praça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Pedro Mormul Correia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Willian Cesar Vieira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 DOS OBJETIVOS DO SISTEMA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tem o objetivo de criar e consultar processos jurídicos, ele possui interação com outro sistema que emite intimações. Com isto, é possível que ambas as partes consultem os processos ocorrentes em seu nome, assim como também saber em que fase se encontra. Há também a possibilidade de criar novo processo, este apenas sendo possível para o advogado representante, assim como possibilidade de seguir com o processo para as próximas fases. Ao juiz, é possível visualizar os processos e tomar decisões sobre seu encaminhamento.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MODELAGEM DOS DADOS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 MODELO CONCEITUAL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680.0" w:type="dxa"/>
        <w:jc w:val="left"/>
        <w:tblInd w:w="726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80"/>
        <w:tblGridChange w:id="0">
          <w:tblGrid>
            <w:gridCol w:w="7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Nesta seção deverá ser apresentado o Modelo Conceitual do banco de dados.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Modelo Conceitual é o modelo de dados abstrato, que descreve a estrutura de um banco de dados  de forma independente de um Sistema Gerenciador de Banco de Dados (SGBD) particular. A técnica de modelagem conceitual a ser utilizada é a abordagem Entidade-Relacionamento (ER).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MODELO LÓGICO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680.0" w:type="dxa"/>
        <w:jc w:val="left"/>
        <w:tblInd w:w="726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80"/>
        <w:tblGridChange w:id="0">
          <w:tblGrid>
            <w:gridCol w:w="7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ESPECIFICAÇÃO DOS REQUISITOS DE INTERFACE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680.0" w:type="dxa"/>
        <w:jc w:val="left"/>
        <w:tblInd w:w="726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80"/>
        <w:tblGridChange w:id="0">
          <w:tblGrid>
            <w:gridCol w:w="76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Nesta seção deverão ser apresentadas as descrições dos Requisitos de Interface do sistema proposto. Para tanto, a equipe deve selecionar dos 18 critérios da Ergolist apenas 5 para incluir na modelagem da interface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color w:val="ff3333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3333"/>
                <w:u w:val="single"/>
                <w:rtl w:val="0"/>
              </w:rPr>
              <w:t xml:space="preserve">Não podem ser selecionados os seguintes critérios</w:t>
            </w:r>
            <w:r w:rsidDel="00000000" w:rsidR="00000000" w:rsidRPr="00000000">
              <w:rPr>
                <w:rFonts w:ascii="Arial" w:cs="Arial" w:eastAsia="Arial" w:hAnsi="Arial"/>
                <w:color w:val="ff3333"/>
                <w:rtl w:val="0"/>
              </w:rPr>
              <w:t xml:space="preserve">: Agrupamento por Localização, Agrupamento por Formato, Legibilidade e Significados)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Para cada critério selecionado a equipe deve selecionar 4 subcritérios (descritos nas questões geradas para cada critério da Ergolist).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realizar a especificação dos requisitos de interface a equipe deve: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Acessar o site da Ergolist </w:t>
            </w:r>
            <w:hyperlink r:id="rId5">
              <w:r w:rsidDel="00000000" w:rsidR="00000000" w:rsidRPr="00000000">
                <w:rPr>
                  <w:rFonts w:ascii="Arial" w:cs="Arial" w:eastAsia="Arial" w:hAnsi="Arial"/>
                  <w:color w:val="000080"/>
                  <w:u w:val="single"/>
                  <w:rtl w:val="0"/>
                </w:rPr>
                <w:t xml:space="preserve">http://www.labiutil.inf.ufsc.br/ergolist/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realizar a pesquisa dos requisitos.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Preencher para cada critério selecionado a ficha abaixo.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tbl>
      <w:tblPr>
        <w:tblStyle w:val="Table4"/>
        <w:bidi w:val="0"/>
        <w:tblW w:w="7650.0" w:type="dxa"/>
        <w:jc w:val="left"/>
        <w:tblInd w:w="726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0"/>
        <w:tblGridChange w:id="0">
          <w:tblGrid>
            <w:gridCol w:w="7650"/>
          </w:tblGrid>
        </w:tblGridChange>
      </w:tblGrid>
      <w:tr>
        <w:trPr>
          <w:trHeight w:val="7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Critério:1\18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Critério: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Presteza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Uma boa presteza guia o usuário e lhe poupa, por exemplo, o aprendizado de uma série de comandos. Ela permite, também, que o usuário saiba em que modo ou em que estado ele está, onde ele se encontra no diálogo e o que ele fez para se encontrar nessa situação. Uma boa presteza facilita a navegação no aplicativo e diminui a ocorrência de erros.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Rótulos para mostradores e campos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02\17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mostrador de dados deve ser identificado por meio de um rótulo único de identificação.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Cabeçalhos para páginas de menus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11\17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página de menu deve possuir um cabeçalho, título ou um convite à interação que expresse uma resposta às dúvidas do usuário face às opções do menu.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necessárias sempre presentes nas telas.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13\17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todas as informações necessárias para a realização de uma determinada tarefa pelo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Símbolos específicos para o convite às entradas.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5\17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Defina um símbolo padrão para o convite à interação e reserve esse símbolo apenas para esse uso.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650.0" w:type="dxa"/>
        <w:jc w:val="left"/>
        <w:tblInd w:w="726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0"/>
        <w:tblGridChange w:id="0">
          <w:tblGrid>
            <w:gridCol w:w="76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Critério: 6\18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Critério: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Concisão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capacidade da memória de curto termo é limitada. Consequentemente, quanto menos entradas, menor a probabilidade de cometer erros. Além disso, quanto mais sucintos forem os itens, menor será o tempo de leitura.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Títulos curtos para as janelas.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2\14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Escolha identificadores de telas, janelas e caixas que sejam pequenos e significativos o suficiente para serem aprendidos e relembrados facilmente.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Denominações breves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5\14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informações devem ser apresentadas tão concisamente quanto possível.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Entradas de códigos alfanuméricos curtos.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9\14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dados codificados, números, etc,.. mantenha as entradas de dados curtas, de modo que o comprimento de um item individual não exceda os 7 caracteres.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Ícones econômicos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4\14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Símbolos devem ser projetados tão economicamente quanto possível no que se refere ao uso do espaço das telas e à complexidade da imagem. Representação compacta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7650.0" w:type="dxa"/>
        <w:jc w:val="left"/>
        <w:tblInd w:w="726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0"/>
        <w:tblGridChange w:id="0">
          <w:tblGrid>
            <w:gridCol w:w="7650"/>
          </w:tblGrid>
        </w:tblGridChange>
      </w:tblGrid>
      <w:tr>
        <w:trPr>
          <w:trHeight w:val="7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Critério: 7\18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Critério: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 mínimas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Quanto mais numerosas e complexas forem as ações necessárias para se chegar a uma meta, a carga de trabalho aumentará e, com ela, a probabilidade de ocorrência de erros.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Posicionamento automático do cursor.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1\5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Quando um formulário de entrada de dados é apresentado, o sistema deve colocar o cursor automaticamente no começo do primeiro campo de entrada.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Movimentos do cursor minimizados.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3\5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ordenação dos objetos interativos de ação deve minimizar o tempo de deslocamento do cursor em direção das ações fundamentais.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Botão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default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grupos de botões.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4\5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o grupo de botões de comando deve ter um botão definido por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default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Mínimos passos para uma seleção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5\5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Minimize o número de passos necessários para fazer uma seleção em menu.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7650.0" w:type="dxa"/>
        <w:jc w:val="left"/>
        <w:tblInd w:w="726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0"/>
        <w:tblGridChange w:id="0">
          <w:tblGrid>
            <w:gridCol w:w="76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Critério: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10\18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Critério: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controle sobre as interações favorece a aprendizagem e, assim, diminui a probabilidade de erros. Como consequência, o computador se torna mais previsível.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Possibilidade de término de diálogos repetitivos.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1\4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apropriado para o controle da sequência, forneça uma opção de "FINALIZAR" que terá o efeito de concluir uma transação sequencial repetitiva.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Possibilidade de interromper e retomar diálogos sequenciais.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:2\4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 apropriado para a seqüência de controle, forneça opções de "INTERROMPER" e "RETOMAR", que terão efeito de interromper e mais tarde retomar a seqüência de transação sem qualquer mudança para os dados entrados ou para a lógica dos controles da transação interrompida.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Possibilidade de reiniciar diálogos seqüenciais.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3\4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Interrupção do bloqueio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4\4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os períodos de bloqueio dos dispositivos de entrada, um meio auxiliar deve ser fornecido ao usuário, tal como uma tecla de função especial, para interromper o processo que causou o bloqueio.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7650.0" w:type="dxa"/>
        <w:jc w:val="left"/>
        <w:tblInd w:w="726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0"/>
        <w:tblGridChange w:id="0">
          <w:tblGrid>
            <w:gridCol w:w="76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Critério: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15\18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Critério: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Mensagens de erro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qualidade das mensagens favorece o aprendizado do sistema, indicando ao usuário a razão ou a natureza do erro cometido, o que ele fez de errado, o que ele deveria ter feito e o que ele deve fazer.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Mensagens de erro úteis.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1\9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mensagens de erro devem ajudar a resolver o problema do usuário, sendo instrutivas e informativas, fornecendo com precisão o local e a causa do erro da forma mais específica possível.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Mensagens de erro neutras e polidas.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:2\9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mensagens de erro devem ser neutras, polidas e educadas, devem evitar qualquer terminologia hostil ou agressiva ao usuário, não devem julgá-lo, embaraçá-lo ou insultá-lo e não devem ser autoritárias ou humorísticas.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Mensagens de erro curtas e significativas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3\9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mensagens de erro devem explicar os erros utilizando a linguagem do usuário, evitando o uso de terminologia vaga, com frases curtas construídas a partir de palavras curtas, significativas e de uso comum.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Subcritério: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Mensagens com informações principais primeiro.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6\9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do Subcritério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informação principal de uma mensagem de erro deve se encontrar no início da mensagem.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Imagem do protótipo de tela do sistema em que o subcritérios será aplicado: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do Critério: Concisão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9820" cy="35306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do Critério: Ações mínimas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9820" cy="41783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do Critério: Controle de Usuário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9820" cy="3771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do Critério: Mensagens de erro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9820" cy="4686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do Critério: Presteza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9820" cy="3644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Conceitual SIJOGA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9820" cy="3543300"/>
            <wp:effectExtent b="0" l="0" r="0" t="0"/>
            <wp:docPr descr="ER_Conceitual_SIJOGA.png" id="4" name="image12.png"/>
            <a:graphic>
              <a:graphicData uri="http://schemas.openxmlformats.org/drawingml/2006/picture">
                <pic:pic>
                  <pic:nvPicPr>
                    <pic:cNvPr descr="ER_Conceitual_SIJOGA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Conceitual SOSIFOD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9820" cy="3810000"/>
            <wp:effectExtent b="0" l="0" r="0" t="0"/>
            <wp:docPr descr="ER_Conceitual_SOSIFOD.png" id="1" name="image08.png"/>
            <a:graphic>
              <a:graphicData uri="http://schemas.openxmlformats.org/drawingml/2006/picture">
                <pic:pic>
                  <pic:nvPicPr>
                    <pic:cNvPr descr="ER_Conceitual_SOSIFOD.png"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Lógico SIJOGA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9820" cy="3759200"/>
            <wp:effectExtent b="0" l="0" r="0" t="0"/>
            <wp:docPr descr="SIJOGA_ER_Logico.png" id="8" name="image16.png"/>
            <a:graphic>
              <a:graphicData uri="http://schemas.openxmlformats.org/drawingml/2006/picture">
                <pic:pic>
                  <pic:nvPicPr>
                    <pic:cNvPr descr="SIJOGA_ER_Logico.png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Lógico SOSIFOD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9820" cy="3098800"/>
            <wp:effectExtent b="0" l="0" r="0" t="0"/>
            <wp:docPr descr="SOSIFOD_Er_Logico.png" id="3" name="image10.png"/>
            <a:graphic>
              <a:graphicData uri="http://schemas.openxmlformats.org/drawingml/2006/picture">
                <pic:pic>
                  <pic:nvPicPr>
                    <pic:cNvPr descr="SOSIFOD_Er_Logico.png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16.png"/><Relationship Id="rId12" Type="http://schemas.openxmlformats.org/officeDocument/2006/relationships/image" Target="media/image0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image" Target="media/image10.png"/><Relationship Id="rId5" Type="http://schemas.openxmlformats.org/officeDocument/2006/relationships/hyperlink" Target="http://www.labiutil.inf.ufsc.br/ergolist/" TargetMode="External"/><Relationship Id="rId6" Type="http://schemas.openxmlformats.org/officeDocument/2006/relationships/image" Target="media/image17.png"/><Relationship Id="rId7" Type="http://schemas.openxmlformats.org/officeDocument/2006/relationships/image" Target="media/image09.png"/><Relationship Id="rId8" Type="http://schemas.openxmlformats.org/officeDocument/2006/relationships/image" Target="media/image14.png"/></Relationships>
</file>