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F2B24" w14:textId="6B5CAFB3" w:rsidR="001B4DA7" w:rsidRPr="000834B8" w:rsidRDefault="001B4DA7">
      <w:pPr>
        <w:rPr>
          <w:rFonts w:eastAsia="Times New Roman"/>
          <w:b/>
          <w:sz w:val="22"/>
          <w:szCs w:val="22"/>
        </w:rPr>
      </w:pPr>
      <w:r w:rsidRPr="000834B8">
        <w:rPr>
          <w:b/>
          <w:sz w:val="22"/>
          <w:szCs w:val="22"/>
        </w:rPr>
        <w:t>Response to reviewers</w:t>
      </w:r>
      <w:r w:rsidR="0092305E" w:rsidRPr="000834B8">
        <w:rPr>
          <w:b/>
          <w:sz w:val="22"/>
          <w:szCs w:val="22"/>
        </w:rPr>
        <w:t>’</w:t>
      </w:r>
      <w:r w:rsidRPr="000834B8">
        <w:rPr>
          <w:b/>
          <w:sz w:val="22"/>
          <w:szCs w:val="22"/>
        </w:rPr>
        <w:t xml:space="preserve"> comments of manuscript </w:t>
      </w:r>
      <w:r w:rsidR="00F10985" w:rsidRPr="000834B8">
        <w:rPr>
          <w:b/>
          <w:sz w:val="22"/>
          <w:szCs w:val="22"/>
        </w:rPr>
        <w:t>NCOMMS-17-20879</w:t>
      </w:r>
      <w:r w:rsidRPr="000834B8">
        <w:rPr>
          <w:b/>
          <w:sz w:val="22"/>
          <w:szCs w:val="22"/>
        </w:rPr>
        <w:t xml:space="preserve"> “</w:t>
      </w:r>
      <w:r w:rsidR="00ED0665" w:rsidRPr="000834B8">
        <w:rPr>
          <w:rFonts w:eastAsia="Times New Roman"/>
          <w:b/>
          <w:sz w:val="22"/>
          <w:szCs w:val="22"/>
        </w:rPr>
        <w:t xml:space="preserve">Bimolecular Recombination </w:t>
      </w:r>
      <w:proofErr w:type="gramStart"/>
      <w:r w:rsidR="00ED0665" w:rsidRPr="000834B8">
        <w:rPr>
          <w:rFonts w:eastAsia="Times New Roman"/>
          <w:b/>
          <w:sz w:val="22"/>
          <w:szCs w:val="22"/>
        </w:rPr>
        <w:t>In</w:t>
      </w:r>
      <w:proofErr w:type="gramEnd"/>
      <w:r w:rsidR="00ED0665" w:rsidRPr="000834B8">
        <w:rPr>
          <w:rFonts w:eastAsia="Times New Roman"/>
          <w:b/>
          <w:sz w:val="22"/>
          <w:szCs w:val="22"/>
        </w:rPr>
        <w:t xml:space="preserve"> </w:t>
      </w:r>
      <w:proofErr w:type="spellStart"/>
      <w:r w:rsidR="00ED0665" w:rsidRPr="000834B8">
        <w:rPr>
          <w:rFonts w:eastAsia="Times New Roman"/>
          <w:b/>
          <w:sz w:val="22"/>
          <w:szCs w:val="22"/>
        </w:rPr>
        <w:t>Methylammonium</w:t>
      </w:r>
      <w:proofErr w:type="spellEnd"/>
      <w:r w:rsidR="00ED0665" w:rsidRPr="000834B8">
        <w:rPr>
          <w:rFonts w:eastAsia="Times New Roman"/>
          <w:b/>
          <w:sz w:val="22"/>
          <w:szCs w:val="22"/>
        </w:rPr>
        <w:t xml:space="preserve"> Lead Triiodide Perovskite: An Inverse Absorption Process</w:t>
      </w:r>
      <w:r w:rsidRPr="000834B8">
        <w:rPr>
          <w:b/>
          <w:sz w:val="22"/>
          <w:szCs w:val="22"/>
        </w:rPr>
        <w:t xml:space="preserve">” by </w:t>
      </w:r>
      <w:r w:rsidR="00F10985" w:rsidRPr="000834B8">
        <w:rPr>
          <w:b/>
          <w:sz w:val="22"/>
          <w:szCs w:val="22"/>
        </w:rPr>
        <w:t>Davies</w:t>
      </w:r>
      <w:r w:rsidRPr="000834B8">
        <w:rPr>
          <w:b/>
          <w:sz w:val="22"/>
          <w:szCs w:val="22"/>
        </w:rPr>
        <w:t xml:space="preserve"> et al.</w:t>
      </w:r>
    </w:p>
    <w:p w14:paraId="6C274EEA" w14:textId="77777777" w:rsidR="00002221" w:rsidRPr="000834B8" w:rsidRDefault="00002221">
      <w:pPr>
        <w:rPr>
          <w:sz w:val="22"/>
          <w:szCs w:val="22"/>
        </w:rPr>
      </w:pPr>
    </w:p>
    <w:p w14:paraId="73689392" w14:textId="0C358729" w:rsidR="00BC5FE8" w:rsidRPr="000834B8" w:rsidRDefault="00751503" w:rsidP="00751503">
      <w:pPr>
        <w:rPr>
          <w:sz w:val="22"/>
          <w:szCs w:val="22"/>
        </w:rPr>
      </w:pPr>
      <w:r w:rsidRPr="000834B8">
        <w:rPr>
          <w:sz w:val="22"/>
          <w:szCs w:val="22"/>
        </w:rPr>
        <w:t xml:space="preserve">We thank the </w:t>
      </w:r>
      <w:r w:rsidR="00B14106" w:rsidRPr="000834B8">
        <w:rPr>
          <w:sz w:val="22"/>
          <w:szCs w:val="22"/>
        </w:rPr>
        <w:t xml:space="preserve">three </w:t>
      </w:r>
      <w:r w:rsidRPr="000834B8">
        <w:rPr>
          <w:sz w:val="22"/>
          <w:szCs w:val="22"/>
        </w:rPr>
        <w:t>referees for their thorough and careful reading of our manuscript, and their suggestions for aspects that would benefit from clarification or elaboration</w:t>
      </w:r>
      <w:r w:rsidR="00B14106" w:rsidRPr="000834B8">
        <w:rPr>
          <w:sz w:val="22"/>
          <w:szCs w:val="22"/>
        </w:rPr>
        <w:t>. The</w:t>
      </w:r>
      <w:r w:rsidR="00A84247" w:rsidRPr="000834B8">
        <w:rPr>
          <w:sz w:val="22"/>
          <w:szCs w:val="22"/>
        </w:rPr>
        <w:t xml:space="preserve"> referees </w:t>
      </w:r>
      <w:r w:rsidR="00B14106" w:rsidRPr="000834B8">
        <w:rPr>
          <w:sz w:val="22"/>
          <w:szCs w:val="22"/>
        </w:rPr>
        <w:t xml:space="preserve">generally acknowledged the </w:t>
      </w:r>
      <w:r w:rsidR="00BC5FE8" w:rsidRPr="000834B8">
        <w:rPr>
          <w:sz w:val="22"/>
          <w:szCs w:val="22"/>
        </w:rPr>
        <w:t xml:space="preserve">high </w:t>
      </w:r>
      <w:r w:rsidR="00B14106" w:rsidRPr="000834B8">
        <w:rPr>
          <w:sz w:val="22"/>
          <w:szCs w:val="22"/>
        </w:rPr>
        <w:t xml:space="preserve">importance and </w:t>
      </w:r>
      <w:r w:rsidR="00347415" w:rsidRPr="000834B8">
        <w:rPr>
          <w:sz w:val="22"/>
          <w:szCs w:val="22"/>
        </w:rPr>
        <w:t xml:space="preserve">broad </w:t>
      </w:r>
      <w:r w:rsidR="00B14106" w:rsidRPr="000834B8">
        <w:rPr>
          <w:sz w:val="22"/>
          <w:szCs w:val="22"/>
        </w:rPr>
        <w:t>interest of the work</w:t>
      </w:r>
      <w:r w:rsidR="00A84247" w:rsidRPr="000834B8">
        <w:rPr>
          <w:sz w:val="22"/>
          <w:szCs w:val="22"/>
        </w:rPr>
        <w:t xml:space="preserve">, </w:t>
      </w:r>
      <w:r w:rsidR="00867133" w:rsidRPr="000834B8">
        <w:rPr>
          <w:sz w:val="22"/>
          <w:szCs w:val="22"/>
        </w:rPr>
        <w:t>and</w:t>
      </w:r>
      <w:r w:rsidR="00A84247" w:rsidRPr="000834B8">
        <w:rPr>
          <w:sz w:val="22"/>
          <w:szCs w:val="22"/>
        </w:rPr>
        <w:t xml:space="preserve"> made a number of comments and suggestions for change. </w:t>
      </w:r>
    </w:p>
    <w:p w14:paraId="20631FF3" w14:textId="77777777" w:rsidR="00BC5FE8" w:rsidRPr="000834B8" w:rsidRDefault="00BC5FE8" w:rsidP="00751503">
      <w:pPr>
        <w:rPr>
          <w:i/>
          <w:sz w:val="22"/>
          <w:szCs w:val="22"/>
        </w:rPr>
      </w:pPr>
    </w:p>
    <w:p w14:paraId="1B29340E" w14:textId="1B23E17F" w:rsidR="00751503" w:rsidRPr="000834B8" w:rsidRDefault="00751503" w:rsidP="00751503">
      <w:pPr>
        <w:rPr>
          <w:sz w:val="22"/>
          <w:szCs w:val="22"/>
        </w:rPr>
      </w:pPr>
      <w:r w:rsidRPr="000834B8">
        <w:rPr>
          <w:sz w:val="22"/>
          <w:szCs w:val="22"/>
        </w:rPr>
        <w:t xml:space="preserve">We </w:t>
      </w:r>
      <w:r w:rsidR="009C1AEF" w:rsidRPr="000834B8">
        <w:rPr>
          <w:sz w:val="22"/>
          <w:szCs w:val="22"/>
        </w:rPr>
        <w:t xml:space="preserve">have </w:t>
      </w:r>
      <w:r w:rsidR="0071052B" w:rsidRPr="000834B8">
        <w:rPr>
          <w:sz w:val="22"/>
          <w:szCs w:val="22"/>
        </w:rPr>
        <w:t xml:space="preserve">thus </w:t>
      </w:r>
      <w:r w:rsidR="009C1AEF" w:rsidRPr="000834B8">
        <w:rPr>
          <w:sz w:val="22"/>
          <w:szCs w:val="22"/>
        </w:rPr>
        <w:t>modified the manuscript to take onboard all of</w:t>
      </w:r>
      <w:r w:rsidRPr="000834B8">
        <w:rPr>
          <w:sz w:val="22"/>
          <w:szCs w:val="22"/>
        </w:rPr>
        <w:t xml:space="preserve"> the referees’ suggestions, and believe that taken together they strengthen the results in our manuscript. We hope that</w:t>
      </w:r>
      <w:r w:rsidR="00A84247" w:rsidRPr="000834B8">
        <w:rPr>
          <w:sz w:val="22"/>
          <w:szCs w:val="22"/>
        </w:rPr>
        <w:t xml:space="preserve"> following</w:t>
      </w:r>
      <w:r w:rsidRPr="000834B8">
        <w:rPr>
          <w:sz w:val="22"/>
          <w:szCs w:val="22"/>
        </w:rPr>
        <w:t xml:space="preserve"> our </w:t>
      </w:r>
      <w:r w:rsidR="00A84247" w:rsidRPr="000834B8">
        <w:rPr>
          <w:sz w:val="22"/>
          <w:szCs w:val="22"/>
        </w:rPr>
        <w:t xml:space="preserve">changes and </w:t>
      </w:r>
      <w:r w:rsidRPr="000834B8">
        <w:rPr>
          <w:sz w:val="22"/>
          <w:szCs w:val="22"/>
        </w:rPr>
        <w:t xml:space="preserve">responses </w:t>
      </w:r>
      <w:r w:rsidR="00A84247" w:rsidRPr="000834B8">
        <w:rPr>
          <w:sz w:val="22"/>
          <w:szCs w:val="22"/>
        </w:rPr>
        <w:t xml:space="preserve">summarized </w:t>
      </w:r>
      <w:r w:rsidRPr="000834B8">
        <w:rPr>
          <w:sz w:val="22"/>
          <w:szCs w:val="22"/>
        </w:rPr>
        <w:t xml:space="preserve">below, </w:t>
      </w:r>
      <w:r w:rsidR="00BC5FE8" w:rsidRPr="000834B8">
        <w:rPr>
          <w:sz w:val="22"/>
          <w:szCs w:val="22"/>
        </w:rPr>
        <w:t xml:space="preserve">this revised article </w:t>
      </w:r>
      <w:r w:rsidR="00017503" w:rsidRPr="000834B8">
        <w:rPr>
          <w:sz w:val="22"/>
          <w:szCs w:val="22"/>
        </w:rPr>
        <w:t xml:space="preserve">will </w:t>
      </w:r>
      <w:r w:rsidR="00BC5FE8" w:rsidRPr="000834B8">
        <w:rPr>
          <w:sz w:val="22"/>
          <w:szCs w:val="22"/>
        </w:rPr>
        <w:t xml:space="preserve">now </w:t>
      </w:r>
      <w:r w:rsidR="00017503" w:rsidRPr="000834B8">
        <w:rPr>
          <w:sz w:val="22"/>
          <w:szCs w:val="22"/>
        </w:rPr>
        <w:t>be</w:t>
      </w:r>
      <w:r w:rsidR="007E055B" w:rsidRPr="000834B8">
        <w:rPr>
          <w:sz w:val="22"/>
          <w:szCs w:val="22"/>
        </w:rPr>
        <w:t xml:space="preserve"> </w:t>
      </w:r>
      <w:r w:rsidR="00BC5FE8" w:rsidRPr="000834B8">
        <w:rPr>
          <w:sz w:val="22"/>
          <w:szCs w:val="22"/>
        </w:rPr>
        <w:t>suitable</w:t>
      </w:r>
      <w:r w:rsidRPr="000834B8">
        <w:rPr>
          <w:sz w:val="22"/>
          <w:szCs w:val="22"/>
        </w:rPr>
        <w:t xml:space="preserve"> for publication</w:t>
      </w:r>
      <w:r w:rsidR="00BC5FE8" w:rsidRPr="000834B8">
        <w:rPr>
          <w:sz w:val="22"/>
          <w:szCs w:val="22"/>
        </w:rPr>
        <w:t xml:space="preserve"> in Nature Communications</w:t>
      </w:r>
      <w:r w:rsidRPr="000834B8">
        <w:rPr>
          <w:sz w:val="22"/>
          <w:szCs w:val="22"/>
        </w:rPr>
        <w:t>.</w:t>
      </w:r>
    </w:p>
    <w:p w14:paraId="482D87A8" w14:textId="77777777" w:rsidR="00002221" w:rsidRPr="000834B8" w:rsidRDefault="00002221" w:rsidP="00751503">
      <w:pPr>
        <w:rPr>
          <w:sz w:val="22"/>
          <w:szCs w:val="22"/>
        </w:rPr>
      </w:pPr>
    </w:p>
    <w:p w14:paraId="2F2EB777" w14:textId="0FF671DD" w:rsidR="00751503" w:rsidRPr="000834B8" w:rsidRDefault="00751503" w:rsidP="00751503">
      <w:pPr>
        <w:rPr>
          <w:sz w:val="22"/>
          <w:szCs w:val="22"/>
        </w:rPr>
      </w:pPr>
      <w:r w:rsidRPr="000834B8">
        <w:rPr>
          <w:sz w:val="22"/>
          <w:szCs w:val="22"/>
        </w:rPr>
        <w:t xml:space="preserve">We address </w:t>
      </w:r>
      <w:r w:rsidR="00BC5FE8" w:rsidRPr="000834B8">
        <w:rPr>
          <w:sz w:val="22"/>
          <w:szCs w:val="22"/>
        </w:rPr>
        <w:t xml:space="preserve">in detail </w:t>
      </w:r>
      <w:r w:rsidRPr="000834B8">
        <w:rPr>
          <w:sz w:val="22"/>
          <w:szCs w:val="22"/>
        </w:rPr>
        <w:t xml:space="preserve">each point raised individually below; verbatim referee comment is shown in </w:t>
      </w:r>
      <w:r w:rsidRPr="000834B8">
        <w:rPr>
          <w:b/>
          <w:bCs/>
          <w:sz w:val="22"/>
          <w:szCs w:val="22"/>
        </w:rPr>
        <w:t>bold</w:t>
      </w:r>
      <w:r w:rsidRPr="000834B8">
        <w:rPr>
          <w:sz w:val="22"/>
          <w:szCs w:val="22"/>
        </w:rPr>
        <w:t xml:space="preserve">, with our response in normal font below each comment. </w:t>
      </w:r>
      <w:r w:rsidR="00182473" w:rsidRPr="000834B8">
        <w:rPr>
          <w:sz w:val="22"/>
          <w:szCs w:val="22"/>
        </w:rPr>
        <w:t>New/old</w:t>
      </w:r>
      <w:r w:rsidRPr="000834B8">
        <w:rPr>
          <w:sz w:val="22"/>
          <w:szCs w:val="22"/>
        </w:rPr>
        <w:t xml:space="preserve"> manuscript </w:t>
      </w:r>
      <w:r w:rsidR="00182473" w:rsidRPr="000834B8">
        <w:rPr>
          <w:sz w:val="22"/>
          <w:szCs w:val="22"/>
        </w:rPr>
        <w:t>text is given</w:t>
      </w:r>
      <w:r w:rsidRPr="000834B8">
        <w:rPr>
          <w:sz w:val="22"/>
          <w:szCs w:val="22"/>
        </w:rPr>
        <w:t xml:space="preserve"> in </w:t>
      </w:r>
      <w:r w:rsidR="00182473" w:rsidRPr="000834B8">
        <w:rPr>
          <w:sz w:val="22"/>
          <w:szCs w:val="22"/>
        </w:rPr>
        <w:t xml:space="preserve">italics and </w:t>
      </w:r>
      <w:r w:rsidRPr="000834B8">
        <w:rPr>
          <w:sz w:val="22"/>
          <w:szCs w:val="22"/>
        </w:rPr>
        <w:t xml:space="preserve">quotation marks, changes to the manuscript are summarized in </w:t>
      </w:r>
      <w:r w:rsidRPr="000834B8">
        <w:rPr>
          <w:color w:val="FF0000"/>
          <w:sz w:val="22"/>
          <w:szCs w:val="22"/>
        </w:rPr>
        <w:t>red</w:t>
      </w:r>
      <w:r w:rsidRPr="000834B8">
        <w:rPr>
          <w:sz w:val="22"/>
          <w:szCs w:val="22"/>
        </w:rPr>
        <w:t>.</w:t>
      </w:r>
      <w:r w:rsidR="00002221" w:rsidRPr="000834B8">
        <w:rPr>
          <w:sz w:val="22"/>
          <w:szCs w:val="22"/>
        </w:rPr>
        <w:t xml:space="preserve"> </w:t>
      </w:r>
    </w:p>
    <w:p w14:paraId="70399C0C" w14:textId="17F02FE0" w:rsidR="00751503" w:rsidRPr="000834B8" w:rsidRDefault="00751503">
      <w:pPr>
        <w:rPr>
          <w:sz w:val="22"/>
          <w:szCs w:val="22"/>
        </w:rPr>
      </w:pPr>
    </w:p>
    <w:p w14:paraId="12E11E45" w14:textId="77777777" w:rsidR="00643B6B" w:rsidRPr="000834B8" w:rsidRDefault="00751503">
      <w:pPr>
        <w:rPr>
          <w:b/>
          <w:sz w:val="22"/>
          <w:szCs w:val="22"/>
          <w:u w:val="single"/>
        </w:rPr>
      </w:pPr>
      <w:r w:rsidRPr="000834B8">
        <w:rPr>
          <w:b/>
          <w:sz w:val="22"/>
          <w:szCs w:val="22"/>
          <w:u w:val="single"/>
        </w:rPr>
        <w:t>Response to Referee 1</w:t>
      </w:r>
    </w:p>
    <w:p w14:paraId="6152EF57" w14:textId="77777777" w:rsidR="006F01E9" w:rsidRPr="000834B8" w:rsidRDefault="006F01E9">
      <w:pPr>
        <w:rPr>
          <w:b/>
          <w:sz w:val="22"/>
          <w:szCs w:val="22"/>
          <w:u w:val="single"/>
        </w:rPr>
      </w:pPr>
    </w:p>
    <w:p w14:paraId="79DBE8FB" w14:textId="77777777" w:rsidR="00ED0665" w:rsidRPr="000834B8" w:rsidRDefault="00ED0665" w:rsidP="00ED0665">
      <w:pPr>
        <w:rPr>
          <w:rFonts w:eastAsia="Times New Roman"/>
          <w:b/>
          <w:color w:val="000000"/>
          <w:sz w:val="22"/>
          <w:szCs w:val="22"/>
          <w:shd w:val="clear" w:color="auto" w:fill="FFFFFF"/>
        </w:rPr>
      </w:pPr>
      <w:r w:rsidRPr="000834B8">
        <w:rPr>
          <w:rFonts w:eastAsia="Times New Roman"/>
          <w:b/>
          <w:color w:val="000000"/>
          <w:sz w:val="22"/>
          <w:szCs w:val="22"/>
          <w:shd w:val="clear" w:color="auto" w:fill="FFFFFF"/>
        </w:rPr>
        <w:t xml:space="preserve">The manuscript “Bimolecular </w:t>
      </w:r>
      <w:proofErr w:type="spellStart"/>
      <w:r w:rsidRPr="000834B8">
        <w:rPr>
          <w:rFonts w:eastAsia="Times New Roman"/>
          <w:b/>
          <w:color w:val="000000"/>
          <w:sz w:val="22"/>
          <w:szCs w:val="22"/>
          <w:shd w:val="clear" w:color="auto" w:fill="FFFFFF"/>
        </w:rPr>
        <w:t>Recomination</w:t>
      </w:r>
      <w:proofErr w:type="spellEnd"/>
      <w:r w:rsidRPr="000834B8">
        <w:rPr>
          <w:rFonts w:eastAsia="Times New Roman"/>
          <w:b/>
          <w:color w:val="000000"/>
          <w:sz w:val="22"/>
          <w:szCs w:val="22"/>
          <w:shd w:val="clear" w:color="auto" w:fill="FFFFFF"/>
        </w:rPr>
        <w:t xml:space="preserve"> in </w:t>
      </w:r>
      <w:proofErr w:type="spellStart"/>
      <w:r w:rsidRPr="000834B8">
        <w:rPr>
          <w:rFonts w:eastAsia="Times New Roman"/>
          <w:b/>
          <w:color w:val="000000"/>
          <w:sz w:val="22"/>
          <w:szCs w:val="22"/>
          <w:shd w:val="clear" w:color="auto" w:fill="FFFFFF"/>
        </w:rPr>
        <w:t>Methylammonium</w:t>
      </w:r>
      <w:proofErr w:type="spellEnd"/>
      <w:r w:rsidRPr="000834B8">
        <w:rPr>
          <w:rFonts w:eastAsia="Times New Roman"/>
          <w:b/>
          <w:color w:val="000000"/>
          <w:sz w:val="22"/>
          <w:szCs w:val="22"/>
          <w:shd w:val="clear" w:color="auto" w:fill="FFFFFF"/>
        </w:rPr>
        <w:t xml:space="preserve"> Lead Triiodide Perovskite: An Inverse Absorption Process,” by Davies et al. describes a combined theory-absorption spectroscopy study of bulk CH3NH3PbI3 perovskite films. The authors utilize carefully measured reflectivity and transmission measurements collected at temperatures between 50 K and 300 K to measure the effective coupling between the ground and excited state electronic configurations. By doing so, the authors seek to model bimolecular recombination as an inverse absorption process. They are largely successful and argue for an elegant and simple solution to a process for which other authors have invoked some rather exotic physical phenomena. I find the arguments largely compelling and am certain they will be of significant interest to the community. </w:t>
      </w:r>
      <w:r w:rsidRPr="000834B8">
        <w:rPr>
          <w:rFonts w:eastAsia="Times New Roman"/>
          <w:b/>
          <w:color w:val="000000"/>
          <w:sz w:val="22"/>
          <w:szCs w:val="22"/>
        </w:rPr>
        <w:br/>
      </w:r>
      <w:r w:rsidRPr="000834B8">
        <w:rPr>
          <w:rFonts w:eastAsia="Times New Roman"/>
          <w:b/>
          <w:color w:val="000000"/>
          <w:sz w:val="22"/>
          <w:szCs w:val="22"/>
        </w:rPr>
        <w:br/>
      </w:r>
      <w:r w:rsidRPr="000834B8">
        <w:rPr>
          <w:rFonts w:eastAsia="Times New Roman"/>
          <w:b/>
          <w:color w:val="000000"/>
          <w:sz w:val="22"/>
          <w:szCs w:val="22"/>
          <w:shd w:val="clear" w:color="auto" w:fill="FFFFFF"/>
        </w:rPr>
        <w:t>My main issues with the manuscript largely revolves around the importance of the Mott density, and the relevance of the ground state (single excitation) absorption spectrum on obtaining quantitative consistency with the recombination rates. A couple points and suggestions below:</w:t>
      </w:r>
      <w:r w:rsidRPr="000834B8">
        <w:rPr>
          <w:rFonts w:eastAsia="Times New Roman"/>
          <w:b/>
          <w:color w:val="000000"/>
          <w:sz w:val="22"/>
          <w:szCs w:val="22"/>
        </w:rPr>
        <w:br/>
      </w:r>
      <w:r w:rsidRPr="000834B8">
        <w:rPr>
          <w:rFonts w:eastAsia="Times New Roman"/>
          <w:b/>
          <w:color w:val="000000"/>
          <w:sz w:val="22"/>
          <w:szCs w:val="22"/>
        </w:rPr>
        <w:br/>
      </w:r>
      <w:r w:rsidRPr="000834B8">
        <w:rPr>
          <w:rFonts w:eastAsia="Times New Roman"/>
          <w:b/>
          <w:color w:val="000000"/>
          <w:sz w:val="22"/>
          <w:szCs w:val="22"/>
          <w:shd w:val="clear" w:color="auto" w:fill="FFFFFF"/>
        </w:rPr>
        <w:t>1) Page 11, second paragraph, last sentence. The authors state that the Mott density is “…distributed about 10^17 cm^-3…” which is technically true. However, as the authors accurately point out in the supporting information, the Mott density is an exceptionally poorly defined quantity, with variation (depending on the equation) of more than 2 orders of magnitude. The authors’ statement is factually correct and they thoroughly and carefully walk through the relevant issues in SI, but this reviewer feels that the discussion in the manuscript does not adequately reflect the uncertainty in this important parameter. I strongly suggest the authors expand this discussion and highlight the issues with defining a Mott density and interpreting transient spectroscopies within its context.</w:t>
      </w:r>
    </w:p>
    <w:p w14:paraId="1F5EFD0E" w14:textId="77777777" w:rsidR="00ED0665" w:rsidRPr="000834B8" w:rsidRDefault="00ED0665" w:rsidP="00ED0665">
      <w:pPr>
        <w:rPr>
          <w:rFonts w:eastAsia="Times New Roman"/>
          <w:b/>
          <w:color w:val="000000"/>
          <w:sz w:val="22"/>
          <w:szCs w:val="22"/>
          <w:shd w:val="clear" w:color="auto" w:fill="FFFFFF"/>
        </w:rPr>
      </w:pPr>
    </w:p>
    <w:p w14:paraId="1A1ED7F5" w14:textId="50898D7D" w:rsidR="00ED0665" w:rsidRPr="000834B8" w:rsidRDefault="00D82C75" w:rsidP="00ED0665">
      <w:pPr>
        <w:rPr>
          <w:sz w:val="22"/>
          <w:szCs w:val="22"/>
        </w:rPr>
      </w:pPr>
      <w:r w:rsidRPr="000834B8">
        <w:rPr>
          <w:sz w:val="22"/>
          <w:szCs w:val="22"/>
        </w:rPr>
        <w:t>Author reply:  We are in full agreement with the referee that the</w:t>
      </w:r>
      <w:r w:rsidR="00E1163F" w:rsidRPr="000834B8">
        <w:rPr>
          <w:sz w:val="22"/>
          <w:szCs w:val="22"/>
        </w:rPr>
        <w:t xml:space="preserve"> Mott density is </w:t>
      </w:r>
      <w:r w:rsidR="004F1604" w:rsidRPr="000834B8">
        <w:rPr>
          <w:sz w:val="22"/>
          <w:szCs w:val="22"/>
        </w:rPr>
        <w:t xml:space="preserve">intrinsically </w:t>
      </w:r>
      <w:r w:rsidR="00E1163F" w:rsidRPr="000834B8">
        <w:rPr>
          <w:sz w:val="22"/>
          <w:szCs w:val="22"/>
        </w:rPr>
        <w:t>poorly defined</w:t>
      </w:r>
      <w:r w:rsidRPr="000834B8">
        <w:rPr>
          <w:sz w:val="22"/>
          <w:szCs w:val="22"/>
        </w:rPr>
        <w:t>.</w:t>
      </w:r>
      <w:r w:rsidR="00E1163F" w:rsidRPr="000834B8">
        <w:rPr>
          <w:sz w:val="22"/>
          <w:szCs w:val="22"/>
        </w:rPr>
        <w:t xml:space="preserve">  </w:t>
      </w:r>
      <w:r w:rsidR="004F1604" w:rsidRPr="000834B8">
        <w:rPr>
          <w:sz w:val="22"/>
          <w:szCs w:val="22"/>
        </w:rPr>
        <w:t xml:space="preserve">We are also very happy to comply with the referee’s request to add more discussion </w:t>
      </w:r>
      <w:r w:rsidR="00347415" w:rsidRPr="000834B8">
        <w:rPr>
          <w:sz w:val="22"/>
          <w:szCs w:val="22"/>
        </w:rPr>
        <w:t xml:space="preserve">on this issue </w:t>
      </w:r>
      <w:r w:rsidR="004F1604" w:rsidRPr="000834B8">
        <w:rPr>
          <w:sz w:val="22"/>
          <w:szCs w:val="22"/>
        </w:rPr>
        <w:t xml:space="preserve">to the main article. </w:t>
      </w:r>
      <w:r w:rsidR="00E1163F" w:rsidRPr="000834B8">
        <w:rPr>
          <w:sz w:val="22"/>
          <w:szCs w:val="22"/>
        </w:rPr>
        <w:t xml:space="preserve">In addition to our current detailed review in the </w:t>
      </w:r>
      <w:r w:rsidR="00B210AD" w:rsidRPr="000834B8">
        <w:rPr>
          <w:sz w:val="22"/>
          <w:szCs w:val="22"/>
        </w:rPr>
        <w:t>Supplementary</w:t>
      </w:r>
      <w:r w:rsidR="00E1163F" w:rsidRPr="000834B8">
        <w:rPr>
          <w:sz w:val="22"/>
          <w:szCs w:val="22"/>
        </w:rPr>
        <w:t xml:space="preserve"> Information, we have </w:t>
      </w:r>
      <w:r w:rsidR="004F1604" w:rsidRPr="000834B8">
        <w:rPr>
          <w:sz w:val="22"/>
          <w:szCs w:val="22"/>
        </w:rPr>
        <w:t xml:space="preserve">now </w:t>
      </w:r>
      <w:r w:rsidR="00E1163F" w:rsidRPr="000834B8">
        <w:rPr>
          <w:sz w:val="22"/>
          <w:szCs w:val="22"/>
        </w:rPr>
        <w:t>expanded the discussion in the main text to convey the uncertainty in the Mott density and help clarify this issue to the reader.</w:t>
      </w:r>
      <w:r w:rsidR="007D3986" w:rsidRPr="000834B8">
        <w:rPr>
          <w:sz w:val="22"/>
          <w:szCs w:val="22"/>
        </w:rPr>
        <w:t xml:space="preserve">  </w:t>
      </w:r>
    </w:p>
    <w:p w14:paraId="2C4F8BA0" w14:textId="77777777" w:rsidR="00ED0665" w:rsidRPr="000834B8" w:rsidRDefault="00ED0665" w:rsidP="00ED0665">
      <w:pPr>
        <w:rPr>
          <w:sz w:val="22"/>
          <w:szCs w:val="22"/>
        </w:rPr>
      </w:pPr>
    </w:p>
    <w:p w14:paraId="02AC46C1" w14:textId="77777777" w:rsidR="00ED0665" w:rsidRPr="000834B8" w:rsidRDefault="00ED0665" w:rsidP="00ED0665">
      <w:pPr>
        <w:rPr>
          <w:color w:val="FF0000"/>
          <w:sz w:val="22"/>
          <w:szCs w:val="22"/>
        </w:rPr>
      </w:pPr>
      <w:r w:rsidRPr="000834B8">
        <w:rPr>
          <w:color w:val="FF0000"/>
          <w:sz w:val="22"/>
          <w:szCs w:val="22"/>
        </w:rPr>
        <w:t>Changes made:</w:t>
      </w:r>
    </w:p>
    <w:p w14:paraId="3DBBB04A" w14:textId="77777777" w:rsidR="00E5228D" w:rsidRPr="000834B8" w:rsidRDefault="00ED0665" w:rsidP="00ED0665">
      <w:pPr>
        <w:rPr>
          <w:color w:val="FF0000"/>
          <w:sz w:val="22"/>
          <w:szCs w:val="22"/>
        </w:rPr>
      </w:pPr>
      <w:r w:rsidRPr="000834B8">
        <w:rPr>
          <w:color w:val="FF0000"/>
          <w:sz w:val="22"/>
          <w:szCs w:val="22"/>
        </w:rPr>
        <w:t>On page</w:t>
      </w:r>
      <w:r w:rsidR="00AC6816" w:rsidRPr="000834B8">
        <w:rPr>
          <w:color w:val="FF0000"/>
          <w:sz w:val="22"/>
          <w:szCs w:val="22"/>
        </w:rPr>
        <w:t xml:space="preserve"> 11 </w:t>
      </w:r>
      <w:r w:rsidR="00B35031" w:rsidRPr="000834B8">
        <w:rPr>
          <w:color w:val="FF0000"/>
          <w:sz w:val="22"/>
          <w:szCs w:val="22"/>
        </w:rPr>
        <w:t xml:space="preserve">paragraph </w:t>
      </w:r>
      <w:r w:rsidR="00E5228D" w:rsidRPr="000834B8">
        <w:rPr>
          <w:color w:val="FF0000"/>
          <w:sz w:val="22"/>
          <w:szCs w:val="22"/>
        </w:rPr>
        <w:t>2</w:t>
      </w:r>
      <w:r w:rsidRPr="000834B8">
        <w:rPr>
          <w:color w:val="FF0000"/>
          <w:sz w:val="22"/>
          <w:szCs w:val="22"/>
        </w:rPr>
        <w:t xml:space="preserve">: </w:t>
      </w:r>
    </w:p>
    <w:p w14:paraId="482B34A2" w14:textId="77777777" w:rsidR="00E5228D" w:rsidRPr="000834B8" w:rsidRDefault="00ED0665" w:rsidP="00ED0665">
      <w:pPr>
        <w:rPr>
          <w:color w:val="FF0000"/>
          <w:sz w:val="22"/>
          <w:szCs w:val="22"/>
        </w:rPr>
      </w:pPr>
      <w:r w:rsidRPr="000834B8">
        <w:rPr>
          <w:color w:val="FF0000"/>
          <w:sz w:val="22"/>
          <w:szCs w:val="22"/>
        </w:rPr>
        <w:t xml:space="preserve">Added </w:t>
      </w:r>
      <w:r w:rsidR="00E5228D" w:rsidRPr="000834B8">
        <w:rPr>
          <w:color w:val="FF0000"/>
          <w:sz w:val="22"/>
          <w:szCs w:val="22"/>
        </w:rPr>
        <w:t>after: [</w:t>
      </w:r>
      <w:r w:rsidR="00E5228D" w:rsidRPr="000834B8">
        <w:rPr>
          <w:i/>
          <w:color w:val="FF0000"/>
          <w:sz w:val="22"/>
          <w:szCs w:val="22"/>
        </w:rPr>
        <w:t>… is the relevant quantity.</w:t>
      </w:r>
      <w:r w:rsidR="00E5228D" w:rsidRPr="000834B8">
        <w:rPr>
          <w:color w:val="FF0000"/>
          <w:sz w:val="22"/>
          <w:szCs w:val="22"/>
        </w:rPr>
        <w:t xml:space="preserve">]  </w:t>
      </w:r>
    </w:p>
    <w:p w14:paraId="17389DF0" w14:textId="77777777" w:rsidR="000C4ECF" w:rsidRPr="000834B8" w:rsidRDefault="00ED0665" w:rsidP="000C4ECF">
      <w:pPr>
        <w:rPr>
          <w:rFonts w:eastAsia="Times New Roman"/>
          <w:color w:val="FF0000"/>
          <w:sz w:val="22"/>
          <w:szCs w:val="22"/>
        </w:rPr>
      </w:pPr>
      <w:r w:rsidRPr="000834B8">
        <w:rPr>
          <w:color w:val="FF0000"/>
          <w:sz w:val="22"/>
          <w:szCs w:val="22"/>
        </w:rPr>
        <w:t>“</w:t>
      </w:r>
      <w:r w:rsidR="007D3986" w:rsidRPr="000834B8">
        <w:rPr>
          <w:color w:val="FF0000"/>
          <w:sz w:val="22"/>
          <w:szCs w:val="22"/>
        </w:rPr>
        <w:t xml:space="preserve">The Mott density </w:t>
      </w:r>
      <w:proofErr w:type="spellStart"/>
      <w:r w:rsidR="007D3986" w:rsidRPr="000834B8">
        <w:rPr>
          <w:color w:val="FF0000"/>
          <w:sz w:val="22"/>
          <w:szCs w:val="22"/>
        </w:rPr>
        <w:t>n</w:t>
      </w:r>
      <w:r w:rsidR="007D3986" w:rsidRPr="000834B8">
        <w:rPr>
          <w:color w:val="FF0000"/>
          <w:sz w:val="22"/>
          <w:szCs w:val="22"/>
          <w:vertAlign w:val="subscript"/>
        </w:rPr>
        <w:t>M</w:t>
      </w:r>
      <w:proofErr w:type="spellEnd"/>
      <w:r w:rsidR="007D3986" w:rsidRPr="000834B8">
        <w:rPr>
          <w:color w:val="FF0000"/>
          <w:sz w:val="22"/>
          <w:szCs w:val="22"/>
        </w:rPr>
        <w:t xml:space="preserve"> places a quantitative value on the transition from an insulating gas of excitons at lower densities to a metal-like state of an electron-hole plasma </w:t>
      </w:r>
      <w:r w:rsidR="004F1604" w:rsidRPr="000834B8">
        <w:rPr>
          <w:color w:val="FF0000"/>
          <w:sz w:val="22"/>
          <w:szCs w:val="22"/>
        </w:rPr>
        <w:t xml:space="preserve">at high charge-carrier </w:t>
      </w:r>
      <w:proofErr w:type="gramStart"/>
      <w:r w:rsidR="004F1604" w:rsidRPr="000834B8">
        <w:rPr>
          <w:color w:val="FF0000"/>
          <w:sz w:val="22"/>
          <w:szCs w:val="22"/>
        </w:rPr>
        <w:t>densities</w:t>
      </w:r>
      <w:r w:rsidR="007D3986" w:rsidRPr="000834B8">
        <w:rPr>
          <w:color w:val="FF0000"/>
          <w:sz w:val="22"/>
          <w:szCs w:val="22"/>
        </w:rPr>
        <w:t>[</w:t>
      </w:r>
      <w:proofErr w:type="gramEnd"/>
      <w:r w:rsidR="007D3986" w:rsidRPr="000834B8">
        <w:rPr>
          <w:color w:val="FF0000"/>
          <w:sz w:val="22"/>
          <w:szCs w:val="22"/>
        </w:rPr>
        <w:t xml:space="preserve">SI ref </w:t>
      </w:r>
      <w:r w:rsidR="00CE1ABA" w:rsidRPr="000834B8">
        <w:rPr>
          <w:color w:val="FF0000"/>
          <w:sz w:val="22"/>
          <w:szCs w:val="22"/>
        </w:rPr>
        <w:t xml:space="preserve">33].  </w:t>
      </w:r>
      <w:r w:rsidR="000C4ECF" w:rsidRPr="000834B8">
        <w:rPr>
          <w:rFonts w:eastAsia="Times New Roman"/>
          <w:color w:val="FF0000"/>
          <w:sz w:val="22"/>
          <w:szCs w:val="22"/>
        </w:rPr>
        <w:t>The electrostatic force between charged particles is a continuous function of their relative distances to each other, therefore it is intrinsically challenging to define a distinct density at which a Mott transition occurs.</w:t>
      </w:r>
    </w:p>
    <w:p w14:paraId="5AD1C94D" w14:textId="77777777" w:rsidR="000C4ECF" w:rsidRPr="000834B8" w:rsidRDefault="000C4ECF" w:rsidP="00E5228D">
      <w:pPr>
        <w:rPr>
          <w:color w:val="FF0000"/>
          <w:sz w:val="22"/>
          <w:szCs w:val="22"/>
        </w:rPr>
      </w:pPr>
    </w:p>
    <w:p w14:paraId="38968815" w14:textId="77777777" w:rsidR="000C4ECF" w:rsidRPr="000834B8" w:rsidRDefault="000C4ECF" w:rsidP="00E5228D">
      <w:pPr>
        <w:rPr>
          <w:color w:val="FF0000"/>
          <w:sz w:val="22"/>
          <w:szCs w:val="22"/>
        </w:rPr>
      </w:pPr>
    </w:p>
    <w:p w14:paraId="3BF7794E" w14:textId="771466A0" w:rsidR="005B4F26" w:rsidRPr="000834B8" w:rsidRDefault="004F1604" w:rsidP="00E5228D">
      <w:pPr>
        <w:rPr>
          <w:color w:val="FF0000"/>
          <w:sz w:val="22"/>
          <w:szCs w:val="22"/>
        </w:rPr>
      </w:pPr>
      <w:r w:rsidRPr="000834B8">
        <w:rPr>
          <w:color w:val="FF0000"/>
          <w:sz w:val="22"/>
          <w:szCs w:val="22"/>
        </w:rPr>
        <w:lastRenderedPageBreak/>
        <w:t>Hence</w:t>
      </w:r>
      <w:r w:rsidR="00AC6816" w:rsidRPr="000834B8">
        <w:rPr>
          <w:color w:val="FF0000"/>
          <w:sz w:val="22"/>
          <w:szCs w:val="22"/>
        </w:rPr>
        <w:t xml:space="preserve"> a wide range of expressions for the Mott density </w:t>
      </w:r>
      <w:r w:rsidRPr="000834B8">
        <w:rPr>
          <w:color w:val="FF0000"/>
          <w:sz w:val="22"/>
          <w:szCs w:val="22"/>
        </w:rPr>
        <w:t xml:space="preserve">have been proposed, which </w:t>
      </w:r>
      <w:r w:rsidR="00E5228D" w:rsidRPr="000834B8">
        <w:rPr>
          <w:color w:val="FF0000"/>
          <w:sz w:val="22"/>
          <w:szCs w:val="22"/>
        </w:rPr>
        <w:t xml:space="preserve">depend on </w:t>
      </w:r>
      <w:r w:rsidR="00260DDC" w:rsidRPr="000834B8">
        <w:rPr>
          <w:color w:val="FF0000"/>
          <w:sz w:val="22"/>
          <w:szCs w:val="22"/>
        </w:rPr>
        <w:t xml:space="preserve">different </w:t>
      </w:r>
      <w:r w:rsidR="00E5228D" w:rsidRPr="000834B8">
        <w:rPr>
          <w:color w:val="FF0000"/>
          <w:sz w:val="22"/>
          <w:szCs w:val="22"/>
        </w:rPr>
        <w:t>model assumptions and</w:t>
      </w:r>
      <w:r w:rsidR="00CE1ABA" w:rsidRPr="000834B8">
        <w:rPr>
          <w:color w:val="FF0000"/>
          <w:sz w:val="22"/>
          <w:szCs w:val="22"/>
        </w:rPr>
        <w:t xml:space="preserve"> complexities</w:t>
      </w:r>
      <w:r w:rsidR="00E5228D" w:rsidRPr="000834B8">
        <w:rPr>
          <w:color w:val="FF0000"/>
          <w:sz w:val="22"/>
          <w:szCs w:val="22"/>
        </w:rPr>
        <w:t>,</w:t>
      </w:r>
      <w:r w:rsidR="00CE1ABA" w:rsidRPr="000834B8">
        <w:rPr>
          <w:color w:val="FF0000"/>
          <w:sz w:val="22"/>
          <w:szCs w:val="22"/>
        </w:rPr>
        <w:t xml:space="preserve"> and </w:t>
      </w:r>
      <w:r w:rsidR="00E5228D" w:rsidRPr="000834B8">
        <w:rPr>
          <w:color w:val="FF0000"/>
          <w:sz w:val="22"/>
          <w:szCs w:val="22"/>
        </w:rPr>
        <w:t xml:space="preserve">whose validity is also </w:t>
      </w:r>
      <w:r w:rsidR="00CE1ABA" w:rsidRPr="000834B8">
        <w:rPr>
          <w:color w:val="FF0000"/>
          <w:sz w:val="22"/>
          <w:szCs w:val="22"/>
        </w:rPr>
        <w:t xml:space="preserve">temperature </w:t>
      </w:r>
      <w:r w:rsidR="00E5228D" w:rsidRPr="000834B8">
        <w:rPr>
          <w:color w:val="FF0000"/>
          <w:sz w:val="22"/>
          <w:szCs w:val="22"/>
        </w:rPr>
        <w:t>dependent</w:t>
      </w:r>
      <w:r w:rsidR="00CE1ABA" w:rsidRPr="000834B8">
        <w:rPr>
          <w:color w:val="FF0000"/>
          <w:sz w:val="22"/>
          <w:szCs w:val="22"/>
        </w:rPr>
        <w:t xml:space="preserve">.  </w:t>
      </w:r>
      <w:r w:rsidR="00AC6816" w:rsidRPr="000834B8">
        <w:rPr>
          <w:color w:val="FF0000"/>
          <w:sz w:val="22"/>
          <w:szCs w:val="22"/>
        </w:rPr>
        <w:t>A detailed</w:t>
      </w:r>
      <w:r w:rsidR="00CE1ABA" w:rsidRPr="000834B8">
        <w:rPr>
          <w:color w:val="FF0000"/>
          <w:sz w:val="22"/>
          <w:szCs w:val="22"/>
        </w:rPr>
        <w:t xml:space="preserve"> discussion </w:t>
      </w:r>
      <w:r w:rsidR="00260DDC" w:rsidRPr="000834B8">
        <w:rPr>
          <w:color w:val="FF0000"/>
          <w:sz w:val="22"/>
          <w:szCs w:val="22"/>
        </w:rPr>
        <w:t>and literature su</w:t>
      </w:r>
      <w:r w:rsidR="005C5E04" w:rsidRPr="000834B8">
        <w:rPr>
          <w:color w:val="FF0000"/>
          <w:sz w:val="22"/>
          <w:szCs w:val="22"/>
        </w:rPr>
        <w:t>mma</w:t>
      </w:r>
      <w:r w:rsidR="000C4ECF" w:rsidRPr="000834B8">
        <w:rPr>
          <w:color w:val="FF0000"/>
          <w:sz w:val="22"/>
          <w:szCs w:val="22"/>
        </w:rPr>
        <w:t>ry</w:t>
      </w:r>
      <w:r w:rsidR="00260DDC" w:rsidRPr="000834B8">
        <w:rPr>
          <w:color w:val="FF0000"/>
          <w:sz w:val="22"/>
          <w:szCs w:val="22"/>
        </w:rPr>
        <w:t xml:space="preserve"> for</w:t>
      </w:r>
      <w:r w:rsidR="00CE1ABA" w:rsidRPr="000834B8">
        <w:rPr>
          <w:color w:val="FF0000"/>
          <w:sz w:val="22"/>
          <w:szCs w:val="22"/>
        </w:rPr>
        <w:t xml:space="preserve"> a variety of models can be found in the </w:t>
      </w:r>
      <w:r w:rsidR="00863434" w:rsidRPr="000834B8">
        <w:rPr>
          <w:color w:val="FF0000"/>
          <w:sz w:val="22"/>
          <w:szCs w:val="22"/>
        </w:rPr>
        <w:t>Supplementary</w:t>
      </w:r>
      <w:r w:rsidR="00CE1ABA" w:rsidRPr="000834B8">
        <w:rPr>
          <w:color w:val="FF0000"/>
          <w:sz w:val="22"/>
          <w:szCs w:val="22"/>
        </w:rPr>
        <w:t xml:space="preserve"> Information.</w:t>
      </w:r>
      <w:r w:rsidR="00AC6816" w:rsidRPr="000834B8">
        <w:rPr>
          <w:color w:val="FF0000"/>
          <w:sz w:val="22"/>
          <w:szCs w:val="22"/>
        </w:rPr>
        <w:t xml:space="preserve">  To </w:t>
      </w:r>
      <w:r w:rsidR="00260DDC" w:rsidRPr="000834B8">
        <w:rPr>
          <w:color w:val="FF0000"/>
          <w:sz w:val="22"/>
          <w:szCs w:val="22"/>
        </w:rPr>
        <w:t xml:space="preserve">represent the variety of such models, </w:t>
      </w:r>
      <w:r w:rsidR="00AC6816" w:rsidRPr="000834B8">
        <w:rPr>
          <w:color w:val="FF0000"/>
          <w:sz w:val="22"/>
          <w:szCs w:val="22"/>
        </w:rPr>
        <w:t xml:space="preserve">we evaluate the Mott density as a function of </w:t>
      </w:r>
      <w:r w:rsidR="00260DDC" w:rsidRPr="000834B8">
        <w:rPr>
          <w:color w:val="FF0000"/>
          <w:sz w:val="22"/>
          <w:szCs w:val="22"/>
        </w:rPr>
        <w:t>temperature,</w:t>
      </w:r>
      <w:r w:rsidR="00260DDC" w:rsidRPr="000834B8">
        <w:rPr>
          <w:color w:val="FF0000"/>
          <w:sz w:val="22"/>
          <w:szCs w:val="22"/>
          <w:vertAlign w:val="superscript"/>
        </w:rPr>
        <w:t>39</w:t>
      </w:r>
      <w:r w:rsidR="00260DDC" w:rsidRPr="000834B8">
        <w:rPr>
          <w:color w:val="FF0000"/>
          <w:sz w:val="22"/>
          <w:szCs w:val="22"/>
        </w:rPr>
        <w:t xml:space="preserve"> based on different expressions and using values</w:t>
      </w:r>
      <w:r w:rsidR="00AC6816" w:rsidRPr="000834B8">
        <w:rPr>
          <w:color w:val="FF0000"/>
          <w:sz w:val="22"/>
          <w:szCs w:val="22"/>
        </w:rPr>
        <w:t>…</w:t>
      </w:r>
      <w:proofErr w:type="gramStart"/>
      <w:r w:rsidR="00AC6816" w:rsidRPr="000834B8">
        <w:rPr>
          <w:color w:val="FF0000"/>
          <w:sz w:val="22"/>
          <w:szCs w:val="22"/>
        </w:rPr>
        <w:t>. ”</w:t>
      </w:r>
      <w:proofErr w:type="gramEnd"/>
      <w:r w:rsidR="00AC6816" w:rsidRPr="000834B8">
        <w:rPr>
          <w:color w:val="FF0000"/>
          <w:sz w:val="22"/>
          <w:szCs w:val="22"/>
        </w:rPr>
        <w:t xml:space="preserve"> </w:t>
      </w:r>
    </w:p>
    <w:p w14:paraId="037595B2" w14:textId="77777777" w:rsidR="005B4F26" w:rsidRPr="000834B8" w:rsidRDefault="005B4F26" w:rsidP="00E5228D">
      <w:pPr>
        <w:rPr>
          <w:rFonts w:eastAsia="Times New Roman"/>
          <w:b/>
          <w:color w:val="000000"/>
          <w:sz w:val="22"/>
          <w:szCs w:val="22"/>
          <w:shd w:val="clear" w:color="auto" w:fill="FFFFFF"/>
        </w:rPr>
      </w:pPr>
    </w:p>
    <w:p w14:paraId="6311E048" w14:textId="2BA8BD5E" w:rsidR="00ED0665" w:rsidRPr="000834B8" w:rsidRDefault="00ED0665" w:rsidP="00E5228D">
      <w:pPr>
        <w:rPr>
          <w:color w:val="FF0000"/>
          <w:sz w:val="22"/>
          <w:szCs w:val="22"/>
        </w:rPr>
      </w:pPr>
      <w:r w:rsidRPr="000834B8">
        <w:rPr>
          <w:rFonts w:eastAsia="Times New Roman"/>
          <w:b/>
          <w:color w:val="000000"/>
          <w:sz w:val="22"/>
          <w:szCs w:val="22"/>
          <w:shd w:val="clear" w:color="auto" w:fill="FFFFFF"/>
        </w:rPr>
        <w:t xml:space="preserve">2) A more significant point regarding the Mott density and its relevance to the primary conclusions of the manuscript: The authors use bimolecular rate constants obtained from power-dependent transient spectroscopies performed in reference 17. In that manuscript, the authors globally fit a series of kinetic decay traces spanning ~ 2 orders of magnitude of carrier density, to extract the bimolecular recombination rate constant. While this approach is standard, the method </w:t>
      </w:r>
      <w:proofErr w:type="spellStart"/>
      <w:r w:rsidRPr="000834B8">
        <w:rPr>
          <w:rFonts w:eastAsia="Times New Roman"/>
          <w:b/>
          <w:color w:val="000000"/>
          <w:sz w:val="22"/>
          <w:szCs w:val="22"/>
          <w:shd w:val="clear" w:color="auto" w:fill="FFFFFF"/>
        </w:rPr>
        <w:t>implicity</w:t>
      </w:r>
      <w:proofErr w:type="spellEnd"/>
      <w:r w:rsidRPr="000834B8">
        <w:rPr>
          <w:rFonts w:eastAsia="Times New Roman"/>
          <w:b/>
          <w:color w:val="000000"/>
          <w:sz w:val="22"/>
          <w:szCs w:val="22"/>
          <w:shd w:val="clear" w:color="auto" w:fill="FFFFFF"/>
        </w:rPr>
        <w:t xml:space="preserve"> assumes that the rate constant does not vary across the measured carrier density (i.e. it is constant). However, one of the main conclusions of this manuscript is the importance of screening effects (from a high carrier density) to the reduction of the bimolecular rate constant. Thus, one must interpret the results of the current manuscript to imply that, experimentally, k2 must in fact increase as the initial carrier density decreases, i.e. k2 would trend from the upper curve to the lower curve of figure</w:t>
      </w:r>
      <w:r w:rsidRPr="000834B8">
        <w:rPr>
          <w:rFonts w:eastAsia="Times New Roman"/>
          <w:b/>
          <w:color w:val="000000"/>
          <w:sz w:val="22"/>
          <w:szCs w:val="22"/>
        </w:rPr>
        <w:t xml:space="preserve"> </w:t>
      </w:r>
      <w:r w:rsidRPr="000834B8">
        <w:rPr>
          <w:rFonts w:eastAsia="Times New Roman"/>
          <w:b/>
          <w:color w:val="000000"/>
          <w:sz w:val="22"/>
          <w:szCs w:val="22"/>
          <w:shd w:val="clear" w:color="auto" w:fill="FFFFFF"/>
        </w:rPr>
        <w:t>3b as the initial carrier density increases. Given how close the authors are to the Mott Density (whatever it may be, see above), and the importance of screening effects for determining which is the “correct” absorption spectrum to use, I feel there needs to be further discussion addressing this apparent contradiction, and perhaps a few hypothetical checks of the arguments made in support of the main conclusions to ensure they are self-consistent.</w:t>
      </w:r>
    </w:p>
    <w:p w14:paraId="0DBF39DE" w14:textId="77777777" w:rsidR="00530649" w:rsidRPr="000834B8" w:rsidRDefault="00530649" w:rsidP="00002221">
      <w:pPr>
        <w:widowControl w:val="0"/>
        <w:autoSpaceDE w:val="0"/>
        <w:autoSpaceDN w:val="0"/>
        <w:adjustRightInd w:val="0"/>
        <w:rPr>
          <w:b/>
          <w:sz w:val="22"/>
          <w:szCs w:val="22"/>
        </w:rPr>
      </w:pPr>
    </w:p>
    <w:p w14:paraId="55E7512A" w14:textId="5DCD4928" w:rsidR="00530649" w:rsidRPr="000834B8" w:rsidRDefault="00530649" w:rsidP="00530649">
      <w:pPr>
        <w:rPr>
          <w:sz w:val="22"/>
          <w:szCs w:val="22"/>
        </w:rPr>
      </w:pPr>
      <w:r w:rsidRPr="000834B8">
        <w:rPr>
          <w:sz w:val="22"/>
          <w:szCs w:val="22"/>
        </w:rPr>
        <w:t xml:space="preserve">Author reply: </w:t>
      </w:r>
    </w:p>
    <w:p w14:paraId="6485458F" w14:textId="1C89152E" w:rsidR="00687278" w:rsidRPr="000834B8" w:rsidRDefault="001A0CC2" w:rsidP="00530649">
      <w:pPr>
        <w:rPr>
          <w:sz w:val="22"/>
          <w:szCs w:val="22"/>
        </w:rPr>
      </w:pPr>
      <w:r w:rsidRPr="000834B8">
        <w:rPr>
          <w:sz w:val="22"/>
          <w:szCs w:val="22"/>
        </w:rPr>
        <w:t>The referee makes a</w:t>
      </w:r>
      <w:r w:rsidR="00347415" w:rsidRPr="000834B8">
        <w:rPr>
          <w:sz w:val="22"/>
          <w:szCs w:val="22"/>
        </w:rPr>
        <w:t xml:space="preserve"> very</w:t>
      </w:r>
      <w:r w:rsidRPr="000834B8">
        <w:rPr>
          <w:sz w:val="22"/>
          <w:szCs w:val="22"/>
        </w:rPr>
        <w:t xml:space="preserve"> insightful question on the presence of screening in the transient measurements and we agree </w:t>
      </w:r>
      <w:r w:rsidR="005C5E04" w:rsidRPr="000834B8">
        <w:rPr>
          <w:sz w:val="22"/>
          <w:szCs w:val="22"/>
        </w:rPr>
        <w:t xml:space="preserve">that this </w:t>
      </w:r>
      <w:r w:rsidRPr="000834B8">
        <w:rPr>
          <w:sz w:val="22"/>
          <w:szCs w:val="22"/>
        </w:rPr>
        <w:t xml:space="preserve">would be useful to clarify in the main text.  The transient measurements </w:t>
      </w:r>
      <w:r w:rsidR="007B51AA" w:rsidRPr="000834B8">
        <w:rPr>
          <w:sz w:val="22"/>
          <w:szCs w:val="22"/>
        </w:rPr>
        <w:t xml:space="preserve">we compare our calculations against </w:t>
      </w:r>
      <w:r w:rsidRPr="000834B8">
        <w:rPr>
          <w:sz w:val="22"/>
          <w:szCs w:val="22"/>
        </w:rPr>
        <w:t xml:space="preserve">were taken </w:t>
      </w:r>
      <w:r w:rsidR="007B51AA" w:rsidRPr="000834B8">
        <w:rPr>
          <w:sz w:val="22"/>
          <w:szCs w:val="22"/>
        </w:rPr>
        <w:t xml:space="preserve">for </w:t>
      </w:r>
      <w:r w:rsidRPr="000834B8">
        <w:rPr>
          <w:sz w:val="22"/>
          <w:szCs w:val="22"/>
        </w:rPr>
        <w:t xml:space="preserve">6 </w:t>
      </w:r>
      <w:r w:rsidR="007B51AA" w:rsidRPr="000834B8">
        <w:rPr>
          <w:sz w:val="22"/>
          <w:szCs w:val="22"/>
        </w:rPr>
        <w:t xml:space="preserve">different excitation </w:t>
      </w:r>
      <w:proofErr w:type="spellStart"/>
      <w:r w:rsidRPr="000834B8">
        <w:rPr>
          <w:sz w:val="22"/>
          <w:szCs w:val="22"/>
        </w:rPr>
        <w:t>fluences</w:t>
      </w:r>
      <w:proofErr w:type="spellEnd"/>
      <w:r w:rsidRPr="000834B8">
        <w:rPr>
          <w:sz w:val="22"/>
          <w:szCs w:val="22"/>
        </w:rPr>
        <w:t xml:space="preserve"> spanning 2 orders of magnitude</w:t>
      </w:r>
      <w:r w:rsidR="007B51AA" w:rsidRPr="000834B8">
        <w:rPr>
          <w:sz w:val="22"/>
          <w:szCs w:val="22"/>
        </w:rPr>
        <w:t>. These</w:t>
      </w:r>
      <w:r w:rsidRPr="000834B8">
        <w:rPr>
          <w:sz w:val="22"/>
          <w:szCs w:val="22"/>
        </w:rPr>
        <w:t xml:space="preserve"> data </w:t>
      </w:r>
      <w:r w:rsidR="007B51AA" w:rsidRPr="000834B8">
        <w:rPr>
          <w:sz w:val="22"/>
          <w:szCs w:val="22"/>
        </w:rPr>
        <w:t xml:space="preserve">had been </w:t>
      </w:r>
      <w:r w:rsidRPr="000834B8">
        <w:rPr>
          <w:sz w:val="22"/>
          <w:szCs w:val="22"/>
        </w:rPr>
        <w:t xml:space="preserve">fitted globally </w:t>
      </w:r>
      <w:r w:rsidR="00687278" w:rsidRPr="000834B8">
        <w:rPr>
          <w:sz w:val="22"/>
          <w:szCs w:val="22"/>
        </w:rPr>
        <w:t xml:space="preserve">in the standard way the referee mentioned, that is, based on a </w:t>
      </w:r>
      <w:r w:rsidRPr="000834B8">
        <w:rPr>
          <w:sz w:val="22"/>
          <w:szCs w:val="22"/>
        </w:rPr>
        <w:t>bimolecular recombination</w:t>
      </w:r>
      <w:r w:rsidR="00687278" w:rsidRPr="000834B8">
        <w:rPr>
          <w:sz w:val="22"/>
          <w:szCs w:val="22"/>
        </w:rPr>
        <w:t xml:space="preserve"> rate constant</w:t>
      </w:r>
      <w:r w:rsidRPr="000834B8">
        <w:rPr>
          <w:sz w:val="22"/>
          <w:szCs w:val="22"/>
        </w:rPr>
        <w:t>, k</w:t>
      </w:r>
      <w:r w:rsidRPr="000834B8">
        <w:rPr>
          <w:sz w:val="22"/>
          <w:szCs w:val="22"/>
          <w:vertAlign w:val="subscript"/>
        </w:rPr>
        <w:t>2</w:t>
      </w:r>
      <w:r w:rsidRPr="000834B8">
        <w:rPr>
          <w:sz w:val="22"/>
          <w:szCs w:val="22"/>
        </w:rPr>
        <w:t xml:space="preserve">, </w:t>
      </w:r>
      <w:r w:rsidR="00687278" w:rsidRPr="000834B8">
        <w:rPr>
          <w:sz w:val="22"/>
          <w:szCs w:val="22"/>
        </w:rPr>
        <w:t xml:space="preserve">and </w:t>
      </w:r>
      <w:r w:rsidRPr="000834B8">
        <w:rPr>
          <w:sz w:val="22"/>
          <w:szCs w:val="22"/>
        </w:rPr>
        <w:t>a</w:t>
      </w:r>
      <w:r w:rsidR="00687278" w:rsidRPr="000834B8">
        <w:rPr>
          <w:sz w:val="22"/>
          <w:szCs w:val="22"/>
        </w:rPr>
        <w:t>n</w:t>
      </w:r>
      <w:r w:rsidRPr="000834B8">
        <w:rPr>
          <w:sz w:val="22"/>
          <w:szCs w:val="22"/>
        </w:rPr>
        <w:t xml:space="preserve"> Auger recombination</w:t>
      </w:r>
      <w:r w:rsidR="00687278" w:rsidRPr="000834B8">
        <w:rPr>
          <w:sz w:val="22"/>
          <w:szCs w:val="22"/>
        </w:rPr>
        <w:t xml:space="preserve"> rate constant</w:t>
      </w:r>
      <w:r w:rsidRPr="000834B8">
        <w:rPr>
          <w:sz w:val="22"/>
          <w:szCs w:val="22"/>
        </w:rPr>
        <w:t xml:space="preserve"> k</w:t>
      </w:r>
      <w:r w:rsidRPr="000834B8">
        <w:rPr>
          <w:sz w:val="22"/>
          <w:szCs w:val="22"/>
          <w:vertAlign w:val="subscript"/>
        </w:rPr>
        <w:t>3</w:t>
      </w:r>
      <w:r w:rsidRPr="000834B8">
        <w:rPr>
          <w:sz w:val="22"/>
          <w:szCs w:val="22"/>
        </w:rPr>
        <w:t xml:space="preserve">, </w:t>
      </w:r>
      <w:r w:rsidR="00687278" w:rsidRPr="000834B8">
        <w:rPr>
          <w:sz w:val="22"/>
          <w:szCs w:val="22"/>
        </w:rPr>
        <w:t>(</w:t>
      </w:r>
      <w:r w:rsidRPr="000834B8">
        <w:rPr>
          <w:sz w:val="22"/>
          <w:szCs w:val="22"/>
        </w:rPr>
        <w:t>the monomolecular term, k</w:t>
      </w:r>
      <w:r w:rsidRPr="000834B8">
        <w:rPr>
          <w:sz w:val="22"/>
          <w:szCs w:val="22"/>
          <w:vertAlign w:val="subscript"/>
        </w:rPr>
        <w:t>1</w:t>
      </w:r>
      <w:r w:rsidRPr="000834B8">
        <w:rPr>
          <w:sz w:val="22"/>
          <w:szCs w:val="22"/>
        </w:rPr>
        <w:t xml:space="preserve"> </w:t>
      </w:r>
      <w:r w:rsidR="00687278" w:rsidRPr="000834B8">
        <w:rPr>
          <w:sz w:val="22"/>
          <w:szCs w:val="22"/>
        </w:rPr>
        <w:t>had been fixed by alternative,</w:t>
      </w:r>
      <w:r w:rsidRPr="000834B8">
        <w:rPr>
          <w:sz w:val="22"/>
          <w:szCs w:val="22"/>
        </w:rPr>
        <w:t xml:space="preserve"> independent measurements</w:t>
      </w:r>
      <w:r w:rsidR="00687278" w:rsidRPr="000834B8">
        <w:rPr>
          <w:sz w:val="22"/>
          <w:szCs w:val="22"/>
        </w:rPr>
        <w:t xml:space="preserve"> and was found to be too low to contribute over the 2ns window these measurements examined)</w:t>
      </w:r>
      <w:r w:rsidRPr="000834B8">
        <w:rPr>
          <w:sz w:val="22"/>
          <w:szCs w:val="22"/>
        </w:rPr>
        <w:t>.  The</w:t>
      </w:r>
      <w:r w:rsidR="00687278" w:rsidRPr="000834B8">
        <w:rPr>
          <w:sz w:val="22"/>
          <w:szCs w:val="22"/>
        </w:rPr>
        <w:t>refore, with only two free parameters plus a third (amplitude scaling)</w:t>
      </w:r>
      <w:r w:rsidRPr="000834B8">
        <w:rPr>
          <w:sz w:val="22"/>
          <w:szCs w:val="22"/>
        </w:rPr>
        <w:t xml:space="preserve"> </w:t>
      </w:r>
      <w:r w:rsidR="00687278" w:rsidRPr="000834B8">
        <w:rPr>
          <w:sz w:val="22"/>
          <w:szCs w:val="22"/>
        </w:rPr>
        <w:t xml:space="preserve">an </w:t>
      </w:r>
      <w:r w:rsidRPr="000834B8">
        <w:rPr>
          <w:sz w:val="22"/>
          <w:szCs w:val="22"/>
        </w:rPr>
        <w:t xml:space="preserve">excellent fit </w:t>
      </w:r>
      <w:r w:rsidR="006112FE" w:rsidRPr="000834B8">
        <w:rPr>
          <w:sz w:val="22"/>
          <w:szCs w:val="22"/>
        </w:rPr>
        <w:t xml:space="preserve">of the model with the data </w:t>
      </w:r>
      <w:r w:rsidR="00687278" w:rsidRPr="000834B8">
        <w:rPr>
          <w:sz w:val="22"/>
          <w:szCs w:val="22"/>
        </w:rPr>
        <w:t xml:space="preserve">was obtained, as can be </w:t>
      </w:r>
      <w:r w:rsidR="006112FE" w:rsidRPr="000834B8">
        <w:rPr>
          <w:sz w:val="22"/>
          <w:szCs w:val="22"/>
        </w:rPr>
        <w:t xml:space="preserve">seen in the </w:t>
      </w:r>
      <w:r w:rsidR="00687278" w:rsidRPr="000834B8">
        <w:rPr>
          <w:sz w:val="22"/>
          <w:szCs w:val="22"/>
        </w:rPr>
        <w:t xml:space="preserve">original article </w:t>
      </w:r>
      <w:r w:rsidR="006112FE" w:rsidRPr="000834B8">
        <w:rPr>
          <w:sz w:val="22"/>
          <w:szCs w:val="22"/>
        </w:rPr>
        <w:t xml:space="preserve">by </w:t>
      </w:r>
      <w:proofErr w:type="spellStart"/>
      <w:r w:rsidR="006112FE" w:rsidRPr="000834B8">
        <w:rPr>
          <w:sz w:val="22"/>
          <w:szCs w:val="22"/>
        </w:rPr>
        <w:t>Milot</w:t>
      </w:r>
      <w:proofErr w:type="spellEnd"/>
      <w:r w:rsidR="006112FE" w:rsidRPr="000834B8">
        <w:rPr>
          <w:sz w:val="22"/>
          <w:szCs w:val="22"/>
        </w:rPr>
        <w:t xml:space="preserve"> et al. [http://onlinelibrary.wiley.com/doi/10.1002/adfm.201502340/abstract]</w:t>
      </w:r>
      <w:r w:rsidR="00687278" w:rsidRPr="000834B8">
        <w:rPr>
          <w:sz w:val="22"/>
          <w:szCs w:val="22"/>
        </w:rPr>
        <w:t xml:space="preserve">. Such excellent fits to multiple transients with few parameters </w:t>
      </w:r>
      <w:r w:rsidR="006112FE" w:rsidRPr="000834B8">
        <w:rPr>
          <w:sz w:val="22"/>
          <w:szCs w:val="22"/>
        </w:rPr>
        <w:t>suggests that k</w:t>
      </w:r>
      <w:r w:rsidR="006112FE" w:rsidRPr="000834B8">
        <w:rPr>
          <w:sz w:val="22"/>
          <w:szCs w:val="22"/>
          <w:vertAlign w:val="subscript"/>
        </w:rPr>
        <w:t>2</w:t>
      </w:r>
      <w:r w:rsidR="006112FE" w:rsidRPr="000834B8">
        <w:rPr>
          <w:sz w:val="22"/>
          <w:szCs w:val="22"/>
        </w:rPr>
        <w:t xml:space="preserve"> must in fact be time-independent and </w:t>
      </w:r>
      <w:proofErr w:type="spellStart"/>
      <w:r w:rsidR="006112FE" w:rsidRPr="000834B8">
        <w:rPr>
          <w:sz w:val="22"/>
          <w:szCs w:val="22"/>
        </w:rPr>
        <w:t>fluence</w:t>
      </w:r>
      <w:proofErr w:type="spellEnd"/>
      <w:r w:rsidR="006112FE" w:rsidRPr="000834B8">
        <w:rPr>
          <w:sz w:val="22"/>
          <w:szCs w:val="22"/>
        </w:rPr>
        <w:t xml:space="preserve">-independent and hence </w:t>
      </w:r>
      <w:r w:rsidR="00347415" w:rsidRPr="000834B8">
        <w:rPr>
          <w:sz w:val="22"/>
          <w:szCs w:val="22"/>
        </w:rPr>
        <w:t>a distinct</w:t>
      </w:r>
      <w:r w:rsidR="00687278" w:rsidRPr="000834B8">
        <w:rPr>
          <w:sz w:val="22"/>
          <w:szCs w:val="22"/>
        </w:rPr>
        <w:t xml:space="preserve"> Mott transition cannot lie within the </w:t>
      </w:r>
      <w:proofErr w:type="spellStart"/>
      <w:r w:rsidR="00687278" w:rsidRPr="000834B8">
        <w:rPr>
          <w:sz w:val="22"/>
          <w:szCs w:val="22"/>
        </w:rPr>
        <w:t>fluence</w:t>
      </w:r>
      <w:proofErr w:type="spellEnd"/>
      <w:r w:rsidR="00687278" w:rsidRPr="000834B8">
        <w:rPr>
          <w:sz w:val="22"/>
          <w:szCs w:val="22"/>
        </w:rPr>
        <w:t xml:space="preserve"> range explored in these measurements. </w:t>
      </w:r>
    </w:p>
    <w:p w14:paraId="3135A0CA" w14:textId="187FA8CA" w:rsidR="0029381E" w:rsidRPr="000834B8" w:rsidRDefault="00687278" w:rsidP="00530649">
      <w:pPr>
        <w:rPr>
          <w:sz w:val="22"/>
          <w:szCs w:val="22"/>
        </w:rPr>
      </w:pPr>
      <w:r w:rsidRPr="000834B8">
        <w:rPr>
          <w:sz w:val="22"/>
          <w:szCs w:val="22"/>
        </w:rPr>
        <w:t>The numerical agreement we find in our study between values of k</w:t>
      </w:r>
      <w:r w:rsidRPr="000834B8">
        <w:rPr>
          <w:sz w:val="22"/>
          <w:szCs w:val="22"/>
          <w:vertAlign w:val="subscript"/>
        </w:rPr>
        <w:t>2</w:t>
      </w:r>
      <w:r w:rsidRPr="000834B8">
        <w:rPr>
          <w:sz w:val="22"/>
          <w:szCs w:val="22"/>
        </w:rPr>
        <w:t xml:space="preserve"> and the unscreened values calculated from the </w:t>
      </w:r>
      <w:proofErr w:type="spellStart"/>
      <w:r w:rsidRPr="000834B8">
        <w:rPr>
          <w:sz w:val="22"/>
          <w:szCs w:val="22"/>
        </w:rPr>
        <w:t>Roosbroeck</w:t>
      </w:r>
      <w:proofErr w:type="spellEnd"/>
      <w:r w:rsidRPr="000834B8">
        <w:rPr>
          <w:sz w:val="22"/>
          <w:szCs w:val="22"/>
        </w:rPr>
        <w:t xml:space="preserve">-Shockley relation further suggests that these transients are taken for charge-carriers below the Mott density. We note that this conclusion is compatible with other studies that seem to suggest that </w:t>
      </w:r>
      <w:r w:rsidR="005C5E04" w:rsidRPr="000834B8">
        <w:rPr>
          <w:sz w:val="22"/>
          <w:szCs w:val="22"/>
        </w:rPr>
        <w:t xml:space="preserve">in these materials </w:t>
      </w:r>
      <w:r w:rsidRPr="000834B8">
        <w:rPr>
          <w:sz w:val="22"/>
          <w:szCs w:val="22"/>
        </w:rPr>
        <w:t>screening is not present until much higher charge-carrier densities than those employed in these transient measurements. For example, a recent</w:t>
      </w:r>
      <w:r w:rsidR="009B48C6" w:rsidRPr="000834B8">
        <w:rPr>
          <w:sz w:val="22"/>
          <w:szCs w:val="22"/>
        </w:rPr>
        <w:t xml:space="preserve"> study </w:t>
      </w:r>
      <w:r w:rsidRPr="000834B8">
        <w:rPr>
          <w:sz w:val="22"/>
          <w:szCs w:val="22"/>
        </w:rPr>
        <w:t xml:space="preserve">of terahertz conductivity in </w:t>
      </w:r>
      <w:r w:rsidR="009B48C6" w:rsidRPr="000834B8">
        <w:rPr>
          <w:sz w:val="22"/>
          <w:szCs w:val="22"/>
        </w:rPr>
        <w:t>MAPbI</w:t>
      </w:r>
      <w:r w:rsidR="009B48C6" w:rsidRPr="000834B8">
        <w:rPr>
          <w:sz w:val="22"/>
          <w:szCs w:val="22"/>
          <w:vertAlign w:val="subscript"/>
        </w:rPr>
        <w:t>3</w:t>
      </w:r>
      <w:r w:rsidR="009B48C6" w:rsidRPr="000834B8">
        <w:rPr>
          <w:sz w:val="22"/>
          <w:szCs w:val="22"/>
        </w:rPr>
        <w:t xml:space="preserve"> </w:t>
      </w:r>
      <w:r w:rsidR="00D70FD5" w:rsidRPr="000834B8">
        <w:rPr>
          <w:sz w:val="22"/>
          <w:szCs w:val="22"/>
        </w:rPr>
        <w:t>[https://www.nature.com/articles/ncomms15565]</w:t>
      </w:r>
      <w:r w:rsidR="009B48C6" w:rsidRPr="000834B8">
        <w:rPr>
          <w:sz w:val="22"/>
          <w:szCs w:val="22"/>
        </w:rPr>
        <w:t xml:space="preserve"> was able to directly observe snapshots of </w:t>
      </w:r>
      <w:proofErr w:type="spellStart"/>
      <w:r w:rsidR="009B48C6" w:rsidRPr="000834B8">
        <w:rPr>
          <w:sz w:val="22"/>
          <w:szCs w:val="22"/>
        </w:rPr>
        <w:t>excitonic</w:t>
      </w:r>
      <w:proofErr w:type="spellEnd"/>
      <w:r w:rsidR="009B48C6" w:rsidRPr="000834B8">
        <w:rPr>
          <w:sz w:val="22"/>
          <w:szCs w:val="22"/>
        </w:rPr>
        <w:t xml:space="preserve"> Rydberg states</w:t>
      </w:r>
      <w:r w:rsidRPr="000834B8">
        <w:rPr>
          <w:sz w:val="22"/>
          <w:szCs w:val="22"/>
        </w:rPr>
        <w:t xml:space="preserve"> at excitation</w:t>
      </w:r>
      <w:r w:rsidR="009B48C6" w:rsidRPr="000834B8">
        <w:rPr>
          <w:sz w:val="22"/>
          <w:szCs w:val="22"/>
        </w:rPr>
        <w:t xml:space="preserve"> </w:t>
      </w:r>
      <w:proofErr w:type="spellStart"/>
      <w:r w:rsidR="009B48C6" w:rsidRPr="000834B8">
        <w:rPr>
          <w:sz w:val="22"/>
          <w:szCs w:val="22"/>
        </w:rPr>
        <w:t>fluences</w:t>
      </w:r>
      <w:proofErr w:type="spellEnd"/>
      <w:r w:rsidR="009B48C6" w:rsidRPr="000834B8">
        <w:rPr>
          <w:sz w:val="22"/>
          <w:szCs w:val="22"/>
        </w:rPr>
        <w:t xml:space="preserve"> </w:t>
      </w:r>
      <w:r w:rsidRPr="000834B8">
        <w:rPr>
          <w:sz w:val="22"/>
          <w:szCs w:val="22"/>
        </w:rPr>
        <w:t>that</w:t>
      </w:r>
      <w:r w:rsidR="009B48C6" w:rsidRPr="000834B8">
        <w:rPr>
          <w:sz w:val="22"/>
          <w:szCs w:val="22"/>
        </w:rPr>
        <w:t xml:space="preserve"> were one order of magnitude greater than the highest </w:t>
      </w:r>
      <w:proofErr w:type="spellStart"/>
      <w:r w:rsidR="009B48C6" w:rsidRPr="000834B8">
        <w:rPr>
          <w:sz w:val="22"/>
          <w:szCs w:val="22"/>
        </w:rPr>
        <w:t>fluence</w:t>
      </w:r>
      <w:proofErr w:type="spellEnd"/>
      <w:r w:rsidR="009B48C6" w:rsidRPr="000834B8">
        <w:rPr>
          <w:sz w:val="22"/>
          <w:szCs w:val="22"/>
        </w:rPr>
        <w:t xml:space="preserve"> used </w:t>
      </w:r>
      <w:r w:rsidR="00C7617C" w:rsidRPr="000834B8">
        <w:rPr>
          <w:sz w:val="22"/>
          <w:szCs w:val="22"/>
        </w:rPr>
        <w:t>in the transient measurements</w:t>
      </w:r>
      <w:r w:rsidRPr="000834B8">
        <w:rPr>
          <w:sz w:val="22"/>
          <w:szCs w:val="22"/>
        </w:rPr>
        <w:t xml:space="preserve"> we analyze here</w:t>
      </w:r>
      <w:r w:rsidR="00C7617C" w:rsidRPr="000834B8">
        <w:rPr>
          <w:sz w:val="22"/>
          <w:szCs w:val="22"/>
        </w:rPr>
        <w:t xml:space="preserve">.  If the </w:t>
      </w:r>
      <w:r w:rsidR="005C5E04" w:rsidRPr="000834B8">
        <w:rPr>
          <w:sz w:val="22"/>
          <w:szCs w:val="22"/>
        </w:rPr>
        <w:t xml:space="preserve">charge-carrier </w:t>
      </w:r>
      <w:r w:rsidR="00C7617C" w:rsidRPr="000834B8">
        <w:rPr>
          <w:sz w:val="22"/>
          <w:szCs w:val="22"/>
        </w:rPr>
        <w:t xml:space="preserve">density </w:t>
      </w:r>
      <w:r w:rsidR="005C5E04" w:rsidRPr="000834B8">
        <w:rPr>
          <w:sz w:val="22"/>
          <w:szCs w:val="22"/>
        </w:rPr>
        <w:t>had been</w:t>
      </w:r>
      <w:r w:rsidR="00C7617C" w:rsidRPr="000834B8">
        <w:rPr>
          <w:sz w:val="22"/>
          <w:szCs w:val="22"/>
        </w:rPr>
        <w:t xml:space="preserve"> greater than the Mott density then the exciton would not </w:t>
      </w:r>
      <w:r w:rsidR="005C5E04" w:rsidRPr="000834B8">
        <w:rPr>
          <w:sz w:val="22"/>
          <w:szCs w:val="22"/>
        </w:rPr>
        <w:t xml:space="preserve">have </w:t>
      </w:r>
      <w:r w:rsidR="00C7617C" w:rsidRPr="000834B8">
        <w:rPr>
          <w:sz w:val="22"/>
          <w:szCs w:val="22"/>
        </w:rPr>
        <w:t>be</w:t>
      </w:r>
      <w:r w:rsidR="005C5E04" w:rsidRPr="000834B8">
        <w:rPr>
          <w:sz w:val="22"/>
          <w:szCs w:val="22"/>
        </w:rPr>
        <w:t>en</w:t>
      </w:r>
      <w:r w:rsidR="00C7617C" w:rsidRPr="000834B8">
        <w:rPr>
          <w:sz w:val="22"/>
          <w:szCs w:val="22"/>
        </w:rPr>
        <w:t xml:space="preserve"> </w:t>
      </w:r>
      <w:r w:rsidR="005C5E04" w:rsidRPr="000834B8">
        <w:rPr>
          <w:sz w:val="22"/>
          <w:szCs w:val="22"/>
        </w:rPr>
        <w:t>observ</w:t>
      </w:r>
      <w:r w:rsidR="00C7617C" w:rsidRPr="000834B8">
        <w:rPr>
          <w:sz w:val="22"/>
          <w:szCs w:val="22"/>
        </w:rPr>
        <w:t xml:space="preserve">able, hence this gives conclusive evidence that </w:t>
      </w:r>
      <w:r w:rsidRPr="000834B8">
        <w:rPr>
          <w:sz w:val="22"/>
          <w:szCs w:val="22"/>
        </w:rPr>
        <w:t xml:space="preserve">the transients against which our calculations are referenced </w:t>
      </w:r>
      <w:r w:rsidR="00C7617C" w:rsidRPr="000834B8">
        <w:rPr>
          <w:sz w:val="22"/>
          <w:szCs w:val="22"/>
        </w:rPr>
        <w:t xml:space="preserve">must </w:t>
      </w:r>
      <w:r w:rsidRPr="000834B8">
        <w:rPr>
          <w:sz w:val="22"/>
          <w:szCs w:val="22"/>
        </w:rPr>
        <w:t xml:space="preserve">have been acquired at charge-carrier densities that lie </w:t>
      </w:r>
      <w:r w:rsidR="00C7617C" w:rsidRPr="000834B8">
        <w:rPr>
          <w:sz w:val="22"/>
          <w:szCs w:val="22"/>
        </w:rPr>
        <w:t>below the Mott density.</w:t>
      </w:r>
    </w:p>
    <w:p w14:paraId="201CF5A2" w14:textId="2F8045F0" w:rsidR="00AA24E2" w:rsidRPr="000834B8" w:rsidRDefault="00AA24E2" w:rsidP="00530649">
      <w:pPr>
        <w:rPr>
          <w:sz w:val="22"/>
          <w:szCs w:val="22"/>
        </w:rPr>
      </w:pPr>
      <w:r w:rsidRPr="000834B8">
        <w:rPr>
          <w:sz w:val="22"/>
          <w:szCs w:val="22"/>
        </w:rPr>
        <w:t>We agree with the referee that this aspect would benefit from further clarification and have now added further comment to our article.</w:t>
      </w:r>
    </w:p>
    <w:p w14:paraId="71663C12" w14:textId="77777777" w:rsidR="0029381E" w:rsidRPr="000834B8" w:rsidRDefault="0029381E" w:rsidP="00530649">
      <w:pPr>
        <w:rPr>
          <w:sz w:val="22"/>
          <w:szCs w:val="22"/>
        </w:rPr>
      </w:pPr>
    </w:p>
    <w:p w14:paraId="71C910EC" w14:textId="77777777" w:rsidR="00530649" w:rsidRPr="000834B8" w:rsidRDefault="00530649" w:rsidP="00530649">
      <w:pPr>
        <w:rPr>
          <w:color w:val="FF0000"/>
          <w:sz w:val="22"/>
          <w:szCs w:val="22"/>
        </w:rPr>
      </w:pPr>
      <w:r w:rsidRPr="000834B8">
        <w:rPr>
          <w:color w:val="FF0000"/>
          <w:sz w:val="22"/>
          <w:szCs w:val="22"/>
        </w:rPr>
        <w:t>Changes made:</w:t>
      </w:r>
    </w:p>
    <w:p w14:paraId="5EF392CA" w14:textId="72DFF4DA" w:rsidR="0029381E" w:rsidRPr="000834B8" w:rsidRDefault="00595E13" w:rsidP="00530649">
      <w:pPr>
        <w:rPr>
          <w:color w:val="FF0000"/>
          <w:sz w:val="22"/>
          <w:szCs w:val="22"/>
        </w:rPr>
      </w:pPr>
      <w:r w:rsidRPr="000834B8">
        <w:rPr>
          <w:color w:val="FF0000"/>
          <w:sz w:val="22"/>
          <w:szCs w:val="22"/>
        </w:rPr>
        <w:t xml:space="preserve">On page </w:t>
      </w:r>
      <w:r w:rsidR="0029381E" w:rsidRPr="000834B8">
        <w:rPr>
          <w:color w:val="FF0000"/>
          <w:sz w:val="22"/>
          <w:szCs w:val="22"/>
        </w:rPr>
        <w:t>12</w:t>
      </w:r>
      <w:r w:rsidR="00BC763A" w:rsidRPr="000834B8">
        <w:rPr>
          <w:color w:val="FF0000"/>
          <w:sz w:val="22"/>
          <w:szCs w:val="22"/>
        </w:rPr>
        <w:t xml:space="preserve"> paragraph 2</w:t>
      </w:r>
      <w:r w:rsidR="00ED0665" w:rsidRPr="000834B8">
        <w:rPr>
          <w:color w:val="FF0000"/>
          <w:sz w:val="22"/>
          <w:szCs w:val="22"/>
        </w:rPr>
        <w:t xml:space="preserve">: </w:t>
      </w:r>
    </w:p>
    <w:p w14:paraId="4CD39361" w14:textId="77777777" w:rsidR="000C4ECF" w:rsidRPr="000834B8" w:rsidRDefault="000C4ECF" w:rsidP="00530649">
      <w:pPr>
        <w:rPr>
          <w:color w:val="FF0000"/>
          <w:sz w:val="22"/>
          <w:szCs w:val="22"/>
        </w:rPr>
      </w:pPr>
    </w:p>
    <w:p w14:paraId="0BF4135C" w14:textId="7B878807" w:rsidR="00D11DA3" w:rsidRPr="000834B8" w:rsidRDefault="00D11DA3" w:rsidP="000C4ECF">
      <w:pPr>
        <w:widowControl w:val="0"/>
        <w:autoSpaceDE w:val="0"/>
        <w:autoSpaceDN w:val="0"/>
        <w:adjustRightInd w:val="0"/>
        <w:rPr>
          <w:color w:val="FF0000"/>
          <w:sz w:val="22"/>
          <w:szCs w:val="22"/>
        </w:rPr>
      </w:pPr>
      <w:r w:rsidRPr="000834B8">
        <w:rPr>
          <w:color w:val="FF0000"/>
          <w:sz w:val="22"/>
          <w:szCs w:val="22"/>
        </w:rPr>
        <w:t>Changed: “As suggested previously</w:t>
      </w:r>
      <w:r w:rsidR="00E776BF" w:rsidRPr="000834B8">
        <w:rPr>
          <w:color w:val="FF0000"/>
          <w:sz w:val="22"/>
          <w:szCs w:val="22"/>
          <w:vertAlign w:val="superscript"/>
        </w:rPr>
        <w:t>2</w:t>
      </w:r>
      <w:r w:rsidR="00E776BF" w:rsidRPr="000834B8">
        <w:rPr>
          <w:color w:val="FF0000"/>
          <w:position w:val="10"/>
          <w:sz w:val="22"/>
          <w:szCs w:val="22"/>
          <w:vertAlign w:val="superscript"/>
        </w:rPr>
        <w:t xml:space="preserve"> </w:t>
      </w:r>
      <w:r w:rsidRPr="000834B8">
        <w:rPr>
          <w:color w:val="FF0000"/>
          <w:sz w:val="22"/>
          <w:szCs w:val="22"/>
        </w:rPr>
        <w:t xml:space="preserve">and described in detail in Supplementary Information, this case applies at charge-carrier densities above </w:t>
      </w:r>
      <w:r w:rsidRPr="000834B8">
        <w:rPr>
          <w:rFonts w:ascii="MS Mincho" w:eastAsia="MS Mincho" w:hAnsi="MS Mincho" w:cs="MS Mincho"/>
          <w:color w:val="FF0000"/>
          <w:sz w:val="22"/>
          <w:szCs w:val="22"/>
        </w:rPr>
        <w:t>∼</w:t>
      </w:r>
      <w:r w:rsidRPr="000834B8">
        <w:rPr>
          <w:color w:val="FF0000"/>
          <w:sz w:val="22"/>
          <w:szCs w:val="22"/>
        </w:rPr>
        <w:t>1</w:t>
      </w:r>
      <w:r w:rsidR="00E776BF" w:rsidRPr="000834B8">
        <w:rPr>
          <w:color w:val="FF0000"/>
          <w:sz w:val="22"/>
          <w:szCs w:val="22"/>
        </w:rPr>
        <w:t>0</w:t>
      </w:r>
      <w:r w:rsidR="00E776BF" w:rsidRPr="000834B8">
        <w:rPr>
          <w:color w:val="FF0000"/>
          <w:sz w:val="22"/>
          <w:szCs w:val="22"/>
          <w:vertAlign w:val="superscript"/>
        </w:rPr>
        <w:t>15</w:t>
      </w:r>
      <w:r w:rsidRPr="000834B8">
        <w:rPr>
          <w:color w:val="FF0000"/>
          <w:sz w:val="22"/>
          <w:szCs w:val="22"/>
        </w:rPr>
        <w:t>–1</w:t>
      </w:r>
      <w:r w:rsidR="00E776BF" w:rsidRPr="000834B8">
        <w:rPr>
          <w:color w:val="FF0000"/>
          <w:sz w:val="22"/>
          <w:szCs w:val="22"/>
        </w:rPr>
        <w:t>0</w:t>
      </w:r>
      <w:r w:rsidR="00E776BF" w:rsidRPr="000834B8">
        <w:rPr>
          <w:color w:val="FF0000"/>
          <w:sz w:val="22"/>
          <w:szCs w:val="22"/>
          <w:vertAlign w:val="superscript"/>
        </w:rPr>
        <w:t>17</w:t>
      </w:r>
      <w:r w:rsidRPr="000834B8">
        <w:rPr>
          <w:color w:val="FF0000"/>
          <w:position w:val="10"/>
          <w:sz w:val="22"/>
          <w:szCs w:val="22"/>
        </w:rPr>
        <w:t xml:space="preserve"> </w:t>
      </w:r>
      <w:r w:rsidRPr="000834B8">
        <w:rPr>
          <w:color w:val="FF0000"/>
          <w:sz w:val="22"/>
          <w:szCs w:val="22"/>
        </w:rPr>
        <w:t>cm</w:t>
      </w:r>
      <w:r w:rsidR="00E776BF" w:rsidRPr="000834B8">
        <w:rPr>
          <w:color w:val="FF0000"/>
          <w:sz w:val="22"/>
          <w:szCs w:val="22"/>
          <w:vertAlign w:val="superscript"/>
        </w:rPr>
        <w:t>-3</w:t>
      </w:r>
      <w:r w:rsidR="00E776BF" w:rsidRPr="000834B8">
        <w:rPr>
          <w:color w:val="FF0000"/>
          <w:position w:val="10"/>
          <w:sz w:val="22"/>
          <w:szCs w:val="22"/>
          <w:vertAlign w:val="superscript"/>
        </w:rPr>
        <w:t xml:space="preserve"> </w:t>
      </w:r>
      <w:r w:rsidRPr="000834B8">
        <w:rPr>
          <w:color w:val="FF0000"/>
          <w:sz w:val="22"/>
          <w:szCs w:val="22"/>
        </w:rPr>
        <w:t>for typical MAPb</w:t>
      </w:r>
      <w:r w:rsidR="000C4ECF" w:rsidRPr="000834B8">
        <w:rPr>
          <w:color w:val="FF0000"/>
          <w:sz w:val="22"/>
          <w:szCs w:val="22"/>
        </w:rPr>
        <w:t>I</w:t>
      </w:r>
      <w:r w:rsidR="000C4ECF" w:rsidRPr="000834B8">
        <w:rPr>
          <w:color w:val="FF0000"/>
          <w:sz w:val="22"/>
          <w:szCs w:val="22"/>
          <w:vertAlign w:val="subscript"/>
        </w:rPr>
        <w:t>3</w:t>
      </w:r>
      <w:r w:rsidRPr="000834B8">
        <w:rPr>
          <w:color w:val="FF0000"/>
          <w:sz w:val="22"/>
          <w:szCs w:val="22"/>
        </w:rPr>
        <w:t>, which come near the Mott density within our observation regime (Figure S6d) and therefore small Coulomb-screening effects may already be present. Hence our analysis clearly supports the notion of an inverse ab</w:t>
      </w:r>
      <w:r w:rsidR="000C4ECF" w:rsidRPr="000834B8">
        <w:rPr>
          <w:color w:val="FF0000"/>
          <w:sz w:val="22"/>
          <w:szCs w:val="22"/>
        </w:rPr>
        <w:t>sorption process leading to bi</w:t>
      </w:r>
      <w:r w:rsidRPr="000834B8">
        <w:rPr>
          <w:color w:val="FF0000"/>
          <w:sz w:val="22"/>
          <w:szCs w:val="22"/>
        </w:rPr>
        <w:t>molecular recombination in CH</w:t>
      </w:r>
      <w:r w:rsidR="00E776BF" w:rsidRPr="000834B8">
        <w:rPr>
          <w:color w:val="FF0000"/>
          <w:sz w:val="22"/>
          <w:szCs w:val="22"/>
          <w:vertAlign w:val="subscript"/>
        </w:rPr>
        <w:t>3</w:t>
      </w:r>
      <w:r w:rsidRPr="000834B8">
        <w:rPr>
          <w:color w:val="FF0000"/>
          <w:sz w:val="22"/>
          <w:szCs w:val="22"/>
        </w:rPr>
        <w:t>NH</w:t>
      </w:r>
      <w:r w:rsidR="00E776BF" w:rsidRPr="000834B8">
        <w:rPr>
          <w:color w:val="FF0000"/>
          <w:sz w:val="22"/>
          <w:szCs w:val="22"/>
          <w:vertAlign w:val="subscript"/>
        </w:rPr>
        <w:t>3</w:t>
      </w:r>
      <w:r w:rsidRPr="000834B8">
        <w:rPr>
          <w:color w:val="FF0000"/>
          <w:sz w:val="22"/>
          <w:szCs w:val="22"/>
        </w:rPr>
        <w:t>PbI</w:t>
      </w:r>
      <w:r w:rsidR="000C4ECF" w:rsidRPr="000834B8">
        <w:rPr>
          <w:color w:val="FF0000"/>
          <w:sz w:val="22"/>
          <w:szCs w:val="22"/>
          <w:vertAlign w:val="subscript"/>
        </w:rPr>
        <w:t>3</w:t>
      </w:r>
      <w:r w:rsidRPr="000834B8">
        <w:rPr>
          <w:color w:val="FF0000"/>
          <w:sz w:val="22"/>
          <w:szCs w:val="22"/>
        </w:rPr>
        <w:t xml:space="preserve">.” </w:t>
      </w:r>
    </w:p>
    <w:p w14:paraId="68277580" w14:textId="77777777" w:rsidR="000C4ECF" w:rsidRPr="000834B8" w:rsidRDefault="000C4ECF" w:rsidP="000C4ECF">
      <w:pPr>
        <w:widowControl w:val="0"/>
        <w:autoSpaceDE w:val="0"/>
        <w:autoSpaceDN w:val="0"/>
        <w:adjustRightInd w:val="0"/>
        <w:rPr>
          <w:color w:val="FF0000"/>
          <w:sz w:val="22"/>
          <w:szCs w:val="22"/>
        </w:rPr>
      </w:pPr>
    </w:p>
    <w:p w14:paraId="02B768FD" w14:textId="3628EB25" w:rsidR="00A923AB" w:rsidRPr="000834B8" w:rsidRDefault="00A923AB" w:rsidP="000C4ECF">
      <w:pPr>
        <w:rPr>
          <w:color w:val="FF0000"/>
          <w:sz w:val="22"/>
          <w:szCs w:val="22"/>
        </w:rPr>
      </w:pPr>
      <w:r w:rsidRPr="000834B8">
        <w:rPr>
          <w:color w:val="FF0000"/>
          <w:sz w:val="22"/>
          <w:szCs w:val="22"/>
        </w:rPr>
        <w:t>To: “</w:t>
      </w:r>
      <w:r w:rsidR="000C4ECF" w:rsidRPr="000834B8">
        <w:rPr>
          <w:color w:val="FF0000"/>
          <w:sz w:val="22"/>
          <w:szCs w:val="22"/>
        </w:rPr>
        <w:t>As suggested previously</w:t>
      </w:r>
      <w:r w:rsidR="000C4ECF" w:rsidRPr="000834B8">
        <w:rPr>
          <w:color w:val="FF0000"/>
          <w:sz w:val="22"/>
          <w:szCs w:val="22"/>
          <w:vertAlign w:val="superscript"/>
        </w:rPr>
        <w:t>2</w:t>
      </w:r>
      <w:r w:rsidR="000C4ECF" w:rsidRPr="000834B8">
        <w:rPr>
          <w:color w:val="FF0000"/>
          <w:position w:val="10"/>
          <w:sz w:val="22"/>
          <w:szCs w:val="22"/>
          <w:vertAlign w:val="superscript"/>
        </w:rPr>
        <w:t xml:space="preserve"> </w:t>
      </w:r>
      <w:r w:rsidR="000C4ECF" w:rsidRPr="000834B8">
        <w:rPr>
          <w:color w:val="FF0000"/>
          <w:sz w:val="22"/>
          <w:szCs w:val="22"/>
        </w:rPr>
        <w:t xml:space="preserve">and described in detail in Supplementary Information, this case applies at charge-carrier densities above </w:t>
      </w:r>
      <w:r w:rsidR="000C4ECF" w:rsidRPr="000834B8">
        <w:rPr>
          <w:rFonts w:ascii="MS Mincho" w:eastAsia="MS Mincho" w:hAnsi="MS Mincho" w:cs="MS Mincho"/>
          <w:color w:val="FF0000"/>
          <w:sz w:val="22"/>
          <w:szCs w:val="22"/>
        </w:rPr>
        <w:t>∼</w:t>
      </w:r>
      <w:r w:rsidR="000C4ECF" w:rsidRPr="000834B8">
        <w:rPr>
          <w:color w:val="FF0000"/>
          <w:sz w:val="22"/>
          <w:szCs w:val="22"/>
        </w:rPr>
        <w:t>10</w:t>
      </w:r>
      <w:r w:rsidR="000C4ECF" w:rsidRPr="000834B8">
        <w:rPr>
          <w:color w:val="FF0000"/>
          <w:sz w:val="22"/>
          <w:szCs w:val="22"/>
          <w:vertAlign w:val="superscript"/>
        </w:rPr>
        <w:t>15</w:t>
      </w:r>
      <w:r w:rsidR="000C4ECF" w:rsidRPr="000834B8">
        <w:rPr>
          <w:color w:val="FF0000"/>
          <w:sz w:val="22"/>
          <w:szCs w:val="22"/>
        </w:rPr>
        <w:t>–10</w:t>
      </w:r>
      <w:r w:rsidR="000C4ECF" w:rsidRPr="000834B8">
        <w:rPr>
          <w:color w:val="FF0000"/>
          <w:sz w:val="22"/>
          <w:szCs w:val="22"/>
          <w:vertAlign w:val="superscript"/>
        </w:rPr>
        <w:t>17</w:t>
      </w:r>
      <w:r w:rsidR="000C4ECF" w:rsidRPr="000834B8">
        <w:rPr>
          <w:color w:val="FF0000"/>
          <w:position w:val="10"/>
          <w:sz w:val="22"/>
          <w:szCs w:val="22"/>
        </w:rPr>
        <w:t xml:space="preserve"> </w:t>
      </w:r>
      <w:r w:rsidR="000C4ECF" w:rsidRPr="000834B8">
        <w:rPr>
          <w:color w:val="FF0000"/>
          <w:sz w:val="22"/>
          <w:szCs w:val="22"/>
        </w:rPr>
        <w:t>cm</w:t>
      </w:r>
      <w:r w:rsidR="000C4ECF" w:rsidRPr="000834B8">
        <w:rPr>
          <w:color w:val="FF0000"/>
          <w:sz w:val="22"/>
          <w:szCs w:val="22"/>
          <w:vertAlign w:val="superscript"/>
        </w:rPr>
        <w:t>-3</w:t>
      </w:r>
      <w:r w:rsidR="000C4ECF" w:rsidRPr="000834B8">
        <w:rPr>
          <w:color w:val="FF0000"/>
          <w:position w:val="10"/>
          <w:sz w:val="22"/>
          <w:szCs w:val="22"/>
          <w:vertAlign w:val="superscript"/>
        </w:rPr>
        <w:t xml:space="preserve"> </w:t>
      </w:r>
      <w:r w:rsidR="000C4ECF" w:rsidRPr="000834B8">
        <w:rPr>
          <w:color w:val="FF0000"/>
          <w:sz w:val="22"/>
          <w:szCs w:val="22"/>
        </w:rPr>
        <w:t>for typical CH</w:t>
      </w:r>
      <w:r w:rsidR="000C4ECF" w:rsidRPr="000834B8">
        <w:rPr>
          <w:color w:val="FF0000"/>
          <w:sz w:val="22"/>
          <w:szCs w:val="22"/>
          <w:vertAlign w:val="subscript"/>
        </w:rPr>
        <w:t>3</w:t>
      </w:r>
      <w:r w:rsidR="000C4ECF" w:rsidRPr="000834B8">
        <w:rPr>
          <w:color w:val="FF0000"/>
          <w:sz w:val="22"/>
          <w:szCs w:val="22"/>
        </w:rPr>
        <w:t>NH</w:t>
      </w:r>
      <w:r w:rsidR="000C4ECF" w:rsidRPr="000834B8">
        <w:rPr>
          <w:color w:val="FF0000"/>
          <w:sz w:val="22"/>
          <w:szCs w:val="22"/>
          <w:vertAlign w:val="subscript"/>
        </w:rPr>
        <w:t>3</w:t>
      </w:r>
      <w:r w:rsidR="000C4ECF" w:rsidRPr="000834B8">
        <w:rPr>
          <w:color w:val="FF0000"/>
          <w:sz w:val="22"/>
          <w:szCs w:val="22"/>
        </w:rPr>
        <w:t>PbI</w:t>
      </w:r>
      <w:r w:rsidR="000C4ECF" w:rsidRPr="000834B8">
        <w:rPr>
          <w:color w:val="FF0000"/>
          <w:sz w:val="22"/>
          <w:szCs w:val="22"/>
          <w:vertAlign w:val="subscript"/>
        </w:rPr>
        <w:t>3</w:t>
      </w:r>
      <w:r w:rsidR="000C4ECF" w:rsidRPr="000834B8">
        <w:rPr>
          <w:color w:val="FF0000"/>
          <w:sz w:val="22"/>
          <w:szCs w:val="22"/>
        </w:rPr>
        <w:t>,</w:t>
      </w:r>
      <w:r w:rsidRPr="000834B8">
        <w:rPr>
          <w:color w:val="FF0000"/>
          <w:sz w:val="22"/>
          <w:szCs w:val="22"/>
        </w:rPr>
        <w:t xml:space="preserve"> which may potentially come near the Mott density (Figure S6d). However, a recent study [L. Luo et al., Nat. </w:t>
      </w:r>
      <w:proofErr w:type="spellStart"/>
      <w:r w:rsidRPr="000834B8">
        <w:rPr>
          <w:color w:val="FF0000"/>
          <w:sz w:val="22"/>
          <w:szCs w:val="22"/>
        </w:rPr>
        <w:t>Commun</w:t>
      </w:r>
      <w:proofErr w:type="spellEnd"/>
      <w:r w:rsidRPr="000834B8">
        <w:rPr>
          <w:color w:val="FF0000"/>
          <w:sz w:val="22"/>
          <w:szCs w:val="22"/>
        </w:rPr>
        <w:t xml:space="preserve">. </w:t>
      </w:r>
      <w:r w:rsidRPr="000834B8">
        <w:rPr>
          <w:bCs/>
          <w:color w:val="FF0000"/>
          <w:sz w:val="22"/>
          <w:szCs w:val="22"/>
        </w:rPr>
        <w:t>8</w:t>
      </w:r>
      <w:r w:rsidRPr="000834B8">
        <w:rPr>
          <w:color w:val="FF0000"/>
          <w:sz w:val="22"/>
          <w:szCs w:val="22"/>
        </w:rPr>
        <w:t xml:space="preserve">, 15565 (2017)] reported the direct observation of </w:t>
      </w:r>
      <w:proofErr w:type="spellStart"/>
      <w:r w:rsidRPr="000834B8">
        <w:rPr>
          <w:color w:val="FF0000"/>
          <w:sz w:val="22"/>
          <w:szCs w:val="22"/>
        </w:rPr>
        <w:t>excitonic</w:t>
      </w:r>
      <w:proofErr w:type="spellEnd"/>
      <w:r w:rsidRPr="000834B8">
        <w:rPr>
          <w:color w:val="FF0000"/>
          <w:sz w:val="22"/>
          <w:szCs w:val="22"/>
        </w:rPr>
        <w:t xml:space="preserve"> Rydberg states following excitation with </w:t>
      </w:r>
      <w:proofErr w:type="spellStart"/>
      <w:r w:rsidRPr="000834B8">
        <w:rPr>
          <w:color w:val="FF0000"/>
          <w:sz w:val="22"/>
          <w:szCs w:val="22"/>
        </w:rPr>
        <w:t>fluences</w:t>
      </w:r>
      <w:proofErr w:type="spellEnd"/>
      <w:r w:rsidRPr="000834B8">
        <w:rPr>
          <w:color w:val="FF0000"/>
          <w:sz w:val="22"/>
          <w:szCs w:val="22"/>
        </w:rPr>
        <w:t xml:space="preserve"> one order of magnitude higher than the highest </w:t>
      </w:r>
      <w:proofErr w:type="spellStart"/>
      <w:r w:rsidRPr="000834B8">
        <w:rPr>
          <w:color w:val="FF0000"/>
          <w:sz w:val="22"/>
          <w:szCs w:val="22"/>
        </w:rPr>
        <w:t>fluence</w:t>
      </w:r>
      <w:proofErr w:type="spellEnd"/>
      <w:r w:rsidRPr="000834B8">
        <w:rPr>
          <w:color w:val="FF0000"/>
          <w:sz w:val="22"/>
          <w:szCs w:val="22"/>
        </w:rPr>
        <w:t xml:space="preserve"> utilized for the transients against which we reference our calculated values of k</w:t>
      </w:r>
      <w:r w:rsidRPr="000834B8">
        <w:rPr>
          <w:color w:val="FF0000"/>
          <w:sz w:val="22"/>
          <w:szCs w:val="22"/>
          <w:vertAlign w:val="subscript"/>
        </w:rPr>
        <w:t>2</w:t>
      </w:r>
      <w:r w:rsidRPr="000834B8">
        <w:rPr>
          <w:color w:val="FF0000"/>
          <w:sz w:val="22"/>
          <w:szCs w:val="22"/>
        </w:rPr>
        <w:t xml:space="preserve"> here. We therefore conclude that the most adequate scenario for comparison is with values obtained from the Coulomb-enhanced (unscreened) absorption coefficient, fo</w:t>
      </w:r>
      <w:r w:rsidR="00D13A2E" w:rsidRPr="000834B8">
        <w:rPr>
          <w:color w:val="FF0000"/>
          <w:sz w:val="22"/>
          <w:szCs w:val="22"/>
        </w:rPr>
        <w:t>r which Figure 3b also indicates</w:t>
      </w:r>
      <w:r w:rsidRPr="000834B8">
        <w:rPr>
          <w:color w:val="FF0000"/>
          <w:sz w:val="22"/>
          <w:szCs w:val="22"/>
        </w:rPr>
        <w:t xml:space="preserve"> best agreement. Hence our analysis clearly supports the notion of an inverse ab</w:t>
      </w:r>
      <w:r w:rsidR="000C4ECF" w:rsidRPr="000834B8">
        <w:rPr>
          <w:color w:val="FF0000"/>
          <w:sz w:val="22"/>
          <w:szCs w:val="22"/>
        </w:rPr>
        <w:t>sorption process leading to bi</w:t>
      </w:r>
      <w:r w:rsidRPr="000834B8">
        <w:rPr>
          <w:color w:val="FF0000"/>
          <w:sz w:val="22"/>
          <w:szCs w:val="22"/>
        </w:rPr>
        <w:t xml:space="preserve">molecular recombination in </w:t>
      </w:r>
      <w:r w:rsidR="000C4ECF" w:rsidRPr="000834B8">
        <w:rPr>
          <w:color w:val="FF0000"/>
          <w:sz w:val="22"/>
          <w:szCs w:val="22"/>
        </w:rPr>
        <w:t>CH</w:t>
      </w:r>
      <w:r w:rsidR="000C4ECF" w:rsidRPr="000834B8">
        <w:rPr>
          <w:color w:val="FF0000"/>
          <w:sz w:val="22"/>
          <w:szCs w:val="22"/>
          <w:vertAlign w:val="subscript"/>
        </w:rPr>
        <w:t>3</w:t>
      </w:r>
      <w:r w:rsidR="000C4ECF" w:rsidRPr="000834B8">
        <w:rPr>
          <w:color w:val="FF0000"/>
          <w:sz w:val="22"/>
          <w:szCs w:val="22"/>
        </w:rPr>
        <w:t>NH</w:t>
      </w:r>
      <w:r w:rsidR="000C4ECF" w:rsidRPr="000834B8">
        <w:rPr>
          <w:color w:val="FF0000"/>
          <w:sz w:val="22"/>
          <w:szCs w:val="22"/>
          <w:vertAlign w:val="subscript"/>
        </w:rPr>
        <w:t>3</w:t>
      </w:r>
      <w:r w:rsidR="000C4ECF" w:rsidRPr="000834B8">
        <w:rPr>
          <w:color w:val="FF0000"/>
          <w:sz w:val="22"/>
          <w:szCs w:val="22"/>
        </w:rPr>
        <w:t>PbI</w:t>
      </w:r>
      <w:r w:rsidR="000C4ECF" w:rsidRPr="000834B8">
        <w:rPr>
          <w:color w:val="FF0000"/>
          <w:sz w:val="22"/>
          <w:szCs w:val="22"/>
          <w:vertAlign w:val="subscript"/>
        </w:rPr>
        <w:t>3</w:t>
      </w:r>
      <w:r w:rsidRPr="000834B8">
        <w:rPr>
          <w:color w:val="FF0000"/>
          <w:sz w:val="22"/>
          <w:szCs w:val="22"/>
        </w:rPr>
        <w:t xml:space="preserve">.” </w:t>
      </w:r>
    </w:p>
    <w:p w14:paraId="62E58ABF" w14:textId="77777777" w:rsidR="00B568FC" w:rsidRPr="000834B8" w:rsidRDefault="00B568FC" w:rsidP="00530649">
      <w:pPr>
        <w:rPr>
          <w:color w:val="FF0000"/>
          <w:sz w:val="22"/>
          <w:szCs w:val="22"/>
        </w:rPr>
      </w:pPr>
    </w:p>
    <w:p w14:paraId="71A8B2D7" w14:textId="321B7E9B" w:rsidR="00591E51" w:rsidRPr="000834B8" w:rsidRDefault="00D13A2E">
      <w:pPr>
        <w:rPr>
          <w:color w:val="008000"/>
          <w:sz w:val="22"/>
          <w:szCs w:val="22"/>
        </w:rPr>
      </w:pPr>
      <w:r w:rsidRPr="000834B8" w:rsidDel="00D13A2E">
        <w:rPr>
          <w:color w:val="FF0000"/>
          <w:sz w:val="22"/>
          <w:szCs w:val="22"/>
        </w:rPr>
        <w:t xml:space="preserve"> </w:t>
      </w:r>
      <w:r w:rsidR="00AC3DBD" w:rsidRPr="000834B8">
        <w:rPr>
          <w:color w:val="FF0000"/>
          <w:sz w:val="22"/>
          <w:szCs w:val="22"/>
        </w:rPr>
        <w:t xml:space="preserve"> </w:t>
      </w:r>
    </w:p>
    <w:p w14:paraId="4F6BFEFB" w14:textId="77777777" w:rsidR="00461ED9" w:rsidRPr="000834B8" w:rsidRDefault="00461ED9">
      <w:pPr>
        <w:rPr>
          <w:b/>
          <w:sz w:val="22"/>
          <w:szCs w:val="22"/>
          <w:u w:val="single"/>
        </w:rPr>
      </w:pPr>
    </w:p>
    <w:p w14:paraId="6613F710" w14:textId="3619743D" w:rsidR="00923175" w:rsidRPr="000834B8" w:rsidRDefault="006F01E9">
      <w:pPr>
        <w:rPr>
          <w:b/>
          <w:sz w:val="22"/>
          <w:szCs w:val="22"/>
          <w:u w:val="single"/>
        </w:rPr>
      </w:pPr>
      <w:r w:rsidRPr="000834B8">
        <w:rPr>
          <w:b/>
          <w:sz w:val="22"/>
          <w:szCs w:val="22"/>
          <w:u w:val="single"/>
        </w:rPr>
        <w:t>Response to Referee 2</w:t>
      </w:r>
    </w:p>
    <w:p w14:paraId="26FA14E1" w14:textId="77777777" w:rsidR="006F01E9" w:rsidRPr="000834B8" w:rsidRDefault="006F01E9">
      <w:pPr>
        <w:rPr>
          <w:b/>
          <w:sz w:val="22"/>
          <w:szCs w:val="22"/>
          <w:u w:val="single"/>
        </w:rPr>
      </w:pPr>
    </w:p>
    <w:p w14:paraId="75D558EB" w14:textId="77777777"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The authors carried out a combined experimental/simulation study of the relation between</w:t>
      </w:r>
    </w:p>
    <w:p w14:paraId="629BE3D1" w14:textId="5D0A5CFA"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 xml:space="preserve">absorption and bimolecular recombination in MAPI. Their main finding is that MAPI obeys the van </w:t>
      </w:r>
      <w:proofErr w:type="spellStart"/>
      <w:r w:rsidRPr="000834B8">
        <w:rPr>
          <w:rFonts w:ascii="Times New Roman" w:hAnsi="Times New Roman" w:cs="Times New Roman"/>
          <w:b/>
          <w:sz w:val="22"/>
          <w:szCs w:val="22"/>
        </w:rPr>
        <w:t>Roosbroeck</w:t>
      </w:r>
      <w:proofErr w:type="spellEnd"/>
      <w:r w:rsidRPr="000834B8">
        <w:rPr>
          <w:rFonts w:ascii="Times New Roman" w:hAnsi="Times New Roman" w:cs="Times New Roman"/>
          <w:b/>
          <w:sz w:val="22"/>
          <w:szCs w:val="22"/>
        </w:rPr>
        <w:t xml:space="preserve">-Shockley relation, relating the radiative emission by free carrier recombination to absorption. Absolute values of k2 but also its dependence on temperature are fully reproduced by applying the van </w:t>
      </w:r>
      <w:proofErr w:type="spellStart"/>
      <w:r w:rsidRPr="000834B8">
        <w:rPr>
          <w:rFonts w:ascii="Times New Roman" w:hAnsi="Times New Roman" w:cs="Times New Roman"/>
          <w:b/>
          <w:sz w:val="22"/>
          <w:szCs w:val="22"/>
        </w:rPr>
        <w:t>Roosbroeck</w:t>
      </w:r>
      <w:proofErr w:type="spellEnd"/>
      <w:r w:rsidRPr="000834B8">
        <w:rPr>
          <w:rFonts w:ascii="Times New Roman" w:hAnsi="Times New Roman" w:cs="Times New Roman"/>
          <w:b/>
          <w:sz w:val="22"/>
          <w:szCs w:val="22"/>
        </w:rPr>
        <w:t>-Shockley relation to the temperature dependent free carrier absorption spectra. In addition, sophisticated GW calculations are performed to reproduce the measured absorption spectra, and good agreement to the shape and strength of the experimental absorption coefficient spectrum is obtained when considering higher energy transitions, the non-</w:t>
      </w:r>
      <w:proofErr w:type="spellStart"/>
      <w:r w:rsidRPr="000834B8">
        <w:rPr>
          <w:rFonts w:ascii="Times New Roman" w:hAnsi="Times New Roman" w:cs="Times New Roman"/>
          <w:b/>
          <w:sz w:val="22"/>
          <w:szCs w:val="22"/>
        </w:rPr>
        <w:t>parabolicity</w:t>
      </w:r>
      <w:proofErr w:type="spellEnd"/>
      <w:r w:rsidRPr="000834B8">
        <w:rPr>
          <w:rFonts w:ascii="Times New Roman" w:hAnsi="Times New Roman" w:cs="Times New Roman"/>
          <w:b/>
          <w:sz w:val="22"/>
          <w:szCs w:val="22"/>
        </w:rPr>
        <w:t xml:space="preserve"> of the bands, and also a slight dependence of the transition matrix element on energy.</w:t>
      </w:r>
    </w:p>
    <w:p w14:paraId="0E48F87E" w14:textId="77777777" w:rsidR="00ED0665" w:rsidRPr="000834B8" w:rsidRDefault="00ED0665">
      <w:pPr>
        <w:rPr>
          <w:b/>
          <w:sz w:val="22"/>
          <w:szCs w:val="22"/>
          <w:u w:val="single"/>
        </w:rPr>
      </w:pPr>
    </w:p>
    <w:p w14:paraId="2A31D8A1" w14:textId="3010A16D"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 xml:space="preserve">The present paper is, </w:t>
      </w:r>
      <w:proofErr w:type="spellStart"/>
      <w:r w:rsidRPr="000834B8">
        <w:rPr>
          <w:rFonts w:ascii="Times New Roman" w:hAnsi="Times New Roman" w:cs="Times New Roman"/>
          <w:b/>
          <w:sz w:val="22"/>
          <w:szCs w:val="22"/>
        </w:rPr>
        <w:t>undoubtful</w:t>
      </w:r>
      <w:proofErr w:type="spellEnd"/>
      <w:r w:rsidRPr="000834B8">
        <w:rPr>
          <w:rFonts w:ascii="Times New Roman" w:hAnsi="Times New Roman" w:cs="Times New Roman"/>
          <w:b/>
          <w:sz w:val="22"/>
          <w:szCs w:val="22"/>
        </w:rPr>
        <w:t>, of highest quality, written by world-class scientists. There are, however, two important issues which the authors need to consider in the revised version of the paper.</w:t>
      </w:r>
    </w:p>
    <w:p w14:paraId="117FAA1C" w14:textId="77777777" w:rsidR="00ED0665" w:rsidRPr="000834B8" w:rsidRDefault="00ED0665">
      <w:pPr>
        <w:rPr>
          <w:b/>
          <w:sz w:val="22"/>
          <w:szCs w:val="22"/>
          <w:u w:val="single"/>
        </w:rPr>
      </w:pPr>
    </w:p>
    <w:p w14:paraId="7F2D0C9B" w14:textId="5B6846FF" w:rsidR="00C865A4"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1. The main objective of the paper is to show that bimolecular recombination is the inverse to</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free carrier absorption in MAPI. In my opinion, this result was actually expected from</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 xml:space="preserve">previous work by other groups. Importantly, several </w:t>
      </w:r>
      <w:proofErr w:type="gramStart"/>
      <w:r w:rsidRPr="000834B8">
        <w:rPr>
          <w:rFonts w:ascii="Times New Roman" w:hAnsi="Times New Roman" w:cs="Times New Roman"/>
          <w:b/>
          <w:sz w:val="22"/>
          <w:szCs w:val="22"/>
        </w:rPr>
        <w:t>author</w:t>
      </w:r>
      <w:proofErr w:type="gramEnd"/>
      <w:r w:rsidRPr="000834B8">
        <w:rPr>
          <w:rFonts w:ascii="Times New Roman" w:hAnsi="Times New Roman" w:cs="Times New Roman"/>
          <w:b/>
          <w:sz w:val="22"/>
          <w:szCs w:val="22"/>
        </w:rPr>
        <w:t xml:space="preserve"> employed Rau’s </w:t>
      </w:r>
      <w:proofErr w:type="spellStart"/>
      <w:r w:rsidRPr="000834B8">
        <w:rPr>
          <w:rFonts w:ascii="Times New Roman" w:hAnsi="Times New Roman" w:cs="Times New Roman"/>
          <w:b/>
          <w:sz w:val="22"/>
          <w:szCs w:val="22"/>
        </w:rPr>
        <w:t>reprocity</w:t>
      </w:r>
      <w:proofErr w:type="spellEnd"/>
      <w:r w:rsidRPr="000834B8">
        <w:rPr>
          <w:rFonts w:ascii="Times New Roman" w:hAnsi="Times New Roman" w:cs="Times New Roman"/>
          <w:b/>
          <w:sz w:val="22"/>
          <w:szCs w:val="22"/>
        </w:rPr>
        <w:t xml:space="preserve"> to</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 xml:space="preserve">reproduce the </w:t>
      </w:r>
      <w:proofErr w:type="spellStart"/>
      <w:r w:rsidRPr="000834B8">
        <w:rPr>
          <w:rFonts w:ascii="Times New Roman" w:hAnsi="Times New Roman" w:cs="Times New Roman"/>
          <w:b/>
          <w:sz w:val="22"/>
          <w:szCs w:val="22"/>
        </w:rPr>
        <w:t>Voc</w:t>
      </w:r>
      <w:proofErr w:type="spellEnd"/>
      <w:r w:rsidRPr="000834B8">
        <w:rPr>
          <w:rFonts w:ascii="Times New Roman" w:hAnsi="Times New Roman" w:cs="Times New Roman"/>
          <w:b/>
          <w:sz w:val="22"/>
          <w:szCs w:val="22"/>
        </w:rPr>
        <w:t xml:space="preserve"> of MAPI and other hybrid-</w:t>
      </w:r>
      <w:proofErr w:type="spellStart"/>
      <w:r w:rsidRPr="000834B8">
        <w:rPr>
          <w:rFonts w:ascii="Times New Roman" w:hAnsi="Times New Roman" w:cs="Times New Roman"/>
          <w:b/>
          <w:sz w:val="22"/>
          <w:szCs w:val="22"/>
        </w:rPr>
        <w:t>perosvkite</w:t>
      </w:r>
      <w:proofErr w:type="spellEnd"/>
      <w:r w:rsidRPr="000834B8">
        <w:rPr>
          <w:rFonts w:ascii="Times New Roman" w:hAnsi="Times New Roman" w:cs="Times New Roman"/>
          <w:b/>
          <w:sz w:val="22"/>
          <w:szCs w:val="22"/>
        </w:rPr>
        <w:t xml:space="preserve"> solar cells from the EQE_PV spectra,</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with excellent agreement between the prediction and the experimental findings (see e.g. [K.</w:t>
      </w:r>
      <w:r w:rsidR="00C865A4" w:rsidRPr="000834B8">
        <w:rPr>
          <w:rFonts w:ascii="Times New Roman" w:hAnsi="Times New Roman" w:cs="Times New Roman"/>
          <w:b/>
          <w:sz w:val="22"/>
          <w:szCs w:val="22"/>
        </w:rPr>
        <w:t xml:space="preserve"> </w:t>
      </w:r>
      <w:proofErr w:type="spellStart"/>
      <w:r w:rsidRPr="000834B8">
        <w:rPr>
          <w:rFonts w:ascii="Times New Roman" w:hAnsi="Times New Roman" w:cs="Times New Roman"/>
          <w:b/>
          <w:sz w:val="22"/>
          <w:szCs w:val="22"/>
        </w:rPr>
        <w:t>Tvingstedt</w:t>
      </w:r>
      <w:proofErr w:type="spellEnd"/>
      <w:r w:rsidRPr="000834B8">
        <w:rPr>
          <w:rFonts w:ascii="Times New Roman" w:hAnsi="Times New Roman" w:cs="Times New Roman"/>
          <w:b/>
          <w:sz w:val="22"/>
          <w:szCs w:val="22"/>
        </w:rPr>
        <w:t xml:space="preserve"> et al., Sci. Rep. </w:t>
      </w:r>
      <w:r w:rsidRPr="000834B8">
        <w:rPr>
          <w:rFonts w:ascii="Times New Roman" w:hAnsi="Times New Roman" w:cs="Times New Roman"/>
          <w:b/>
          <w:bCs/>
          <w:sz w:val="22"/>
          <w:szCs w:val="22"/>
        </w:rPr>
        <w:t>4</w:t>
      </w:r>
      <w:r w:rsidRPr="000834B8">
        <w:rPr>
          <w:rFonts w:ascii="Times New Roman" w:hAnsi="Times New Roman" w:cs="Times New Roman"/>
          <w:b/>
          <w:sz w:val="22"/>
          <w:szCs w:val="22"/>
        </w:rPr>
        <w:t>, 6071 (2015).]. Rau’s reciprocity is a similar to the van</w:t>
      </w:r>
      <w:r w:rsidR="00C865A4" w:rsidRPr="000834B8">
        <w:rPr>
          <w:rFonts w:ascii="Times New Roman" w:hAnsi="Times New Roman" w:cs="Times New Roman"/>
          <w:b/>
          <w:sz w:val="22"/>
          <w:szCs w:val="22"/>
        </w:rPr>
        <w:t xml:space="preserve"> </w:t>
      </w:r>
      <w:proofErr w:type="spellStart"/>
      <w:r w:rsidRPr="000834B8">
        <w:rPr>
          <w:rFonts w:ascii="Times New Roman" w:hAnsi="Times New Roman" w:cs="Times New Roman"/>
          <w:b/>
          <w:sz w:val="22"/>
          <w:szCs w:val="22"/>
        </w:rPr>
        <w:t>Roosbroeck</w:t>
      </w:r>
      <w:proofErr w:type="spellEnd"/>
      <w:r w:rsidRPr="000834B8">
        <w:rPr>
          <w:rFonts w:ascii="Times New Roman" w:hAnsi="Times New Roman" w:cs="Times New Roman"/>
          <w:b/>
          <w:sz w:val="22"/>
          <w:szCs w:val="22"/>
        </w:rPr>
        <w:t>-Shockley, but it also takes into account non-unity efficiencies for charge</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generation and free charge recombination. As Rau’s reciprocity relies on the assumption that</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all photon emission comes from free carrier recombination, and that free carrier</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 xml:space="preserve">recombination is the inverse process of free </w:t>
      </w:r>
      <w:proofErr w:type="gramStart"/>
      <w:r w:rsidRPr="000834B8">
        <w:rPr>
          <w:rFonts w:ascii="Times New Roman" w:hAnsi="Times New Roman" w:cs="Times New Roman"/>
          <w:b/>
          <w:sz w:val="22"/>
          <w:szCs w:val="22"/>
        </w:rPr>
        <w:t>carriers</w:t>
      </w:r>
      <w:proofErr w:type="gramEnd"/>
      <w:r w:rsidRPr="000834B8">
        <w:rPr>
          <w:rFonts w:ascii="Times New Roman" w:hAnsi="Times New Roman" w:cs="Times New Roman"/>
          <w:b/>
          <w:sz w:val="22"/>
          <w:szCs w:val="22"/>
        </w:rPr>
        <w:t xml:space="preserve"> formation by photon absorption, and</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MAPI obeys Rau’s reciprocity, the rate of radiative free carrier recombination must be given</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by the absorption. Therefore, the more relevant question to answer is whether all free</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 xml:space="preserve">carrier recombination is emissive, because its only then that k2 is equal to </w:t>
      </w:r>
      <w:proofErr w:type="spellStart"/>
      <w:r w:rsidRPr="000834B8">
        <w:rPr>
          <w:rFonts w:ascii="Times New Roman" w:hAnsi="Times New Roman" w:cs="Times New Roman"/>
          <w:b/>
          <w:sz w:val="22"/>
          <w:szCs w:val="22"/>
        </w:rPr>
        <w:t>Rrad</w:t>
      </w:r>
      <w:proofErr w:type="spellEnd"/>
      <w:r w:rsidRPr="000834B8">
        <w:rPr>
          <w:rFonts w:ascii="Times New Roman" w:hAnsi="Times New Roman" w:cs="Times New Roman"/>
          <w:b/>
          <w:sz w:val="22"/>
          <w:szCs w:val="22"/>
        </w:rPr>
        <w:t>/(</w:t>
      </w:r>
      <w:proofErr w:type="spellStart"/>
      <w:r w:rsidRPr="000834B8">
        <w:rPr>
          <w:rFonts w:ascii="Times New Roman" w:hAnsi="Times New Roman" w:cs="Times New Roman"/>
          <w:b/>
          <w:sz w:val="22"/>
          <w:szCs w:val="22"/>
        </w:rPr>
        <w:t>ni</w:t>
      </w:r>
      <w:proofErr w:type="spellEnd"/>
      <w:r w:rsidRPr="000834B8">
        <w:rPr>
          <w:rFonts w:ascii="Times New Roman" w:hAnsi="Times New Roman" w:cs="Times New Roman"/>
          <w:b/>
          <w:sz w:val="22"/>
          <w:szCs w:val="22"/>
        </w:rPr>
        <w:t>)2. The</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present study shows that this is the case, providing firm proof for the assumption that</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 xml:space="preserve">bimolecular recombination in MAPI is always radiative! </w:t>
      </w:r>
    </w:p>
    <w:p w14:paraId="6A1CBA5E" w14:textId="77777777" w:rsidR="00C865A4" w:rsidRPr="000834B8" w:rsidRDefault="00C865A4" w:rsidP="00ED0665">
      <w:pPr>
        <w:pStyle w:val="p1"/>
        <w:rPr>
          <w:rFonts w:ascii="Times New Roman" w:hAnsi="Times New Roman" w:cs="Times New Roman"/>
          <w:b/>
          <w:sz w:val="22"/>
          <w:szCs w:val="22"/>
        </w:rPr>
      </w:pPr>
    </w:p>
    <w:p w14:paraId="04FEB619" w14:textId="5E1594B8" w:rsidR="0058358C" w:rsidRPr="000834B8" w:rsidRDefault="00F45F71" w:rsidP="0058358C">
      <w:pPr>
        <w:rPr>
          <w:sz w:val="22"/>
          <w:szCs w:val="22"/>
        </w:rPr>
      </w:pPr>
      <w:r w:rsidRPr="000834B8">
        <w:rPr>
          <w:sz w:val="22"/>
          <w:szCs w:val="22"/>
        </w:rPr>
        <w:t>Author reply:</w:t>
      </w:r>
    </w:p>
    <w:p w14:paraId="31809BF3" w14:textId="38A1DE40" w:rsidR="00625811" w:rsidRPr="000834B8" w:rsidRDefault="00703857" w:rsidP="0058358C">
      <w:pPr>
        <w:rPr>
          <w:sz w:val="22"/>
          <w:szCs w:val="22"/>
        </w:rPr>
      </w:pPr>
      <w:r w:rsidRPr="000834B8">
        <w:rPr>
          <w:sz w:val="22"/>
          <w:szCs w:val="22"/>
        </w:rPr>
        <w:t xml:space="preserve">We thank the referee for </w:t>
      </w:r>
      <w:r w:rsidR="00AC3B89" w:rsidRPr="000834B8">
        <w:rPr>
          <w:sz w:val="22"/>
          <w:szCs w:val="22"/>
        </w:rPr>
        <w:t xml:space="preserve">his/her positive evaluation of </w:t>
      </w:r>
      <w:r w:rsidRPr="000834B8">
        <w:rPr>
          <w:sz w:val="22"/>
          <w:szCs w:val="22"/>
        </w:rPr>
        <w:t>the quality of our work.</w:t>
      </w:r>
      <w:r w:rsidR="0072518B" w:rsidRPr="000834B8">
        <w:rPr>
          <w:sz w:val="22"/>
          <w:szCs w:val="22"/>
        </w:rPr>
        <w:t xml:space="preserve"> </w:t>
      </w:r>
      <w:r w:rsidRPr="000834B8">
        <w:rPr>
          <w:sz w:val="22"/>
          <w:szCs w:val="22"/>
        </w:rPr>
        <w:t xml:space="preserve"> </w:t>
      </w:r>
      <w:r w:rsidR="00625811" w:rsidRPr="000834B8">
        <w:rPr>
          <w:sz w:val="22"/>
          <w:szCs w:val="22"/>
        </w:rPr>
        <w:t xml:space="preserve">With regards to the expectation of the result we reveal in our study, we emphasize that our finding that </w:t>
      </w:r>
      <w:r w:rsidR="00F45F71" w:rsidRPr="000834B8">
        <w:rPr>
          <w:sz w:val="22"/>
          <w:szCs w:val="22"/>
        </w:rPr>
        <w:t xml:space="preserve">bimolecular recombination </w:t>
      </w:r>
      <w:r w:rsidR="00625811" w:rsidRPr="000834B8">
        <w:rPr>
          <w:sz w:val="22"/>
          <w:szCs w:val="22"/>
        </w:rPr>
        <w:t xml:space="preserve">is </w:t>
      </w:r>
      <w:r w:rsidR="00F45F71" w:rsidRPr="000834B8">
        <w:rPr>
          <w:sz w:val="22"/>
          <w:szCs w:val="22"/>
        </w:rPr>
        <w:t>the in</w:t>
      </w:r>
      <w:r w:rsidR="00730B30" w:rsidRPr="000834B8">
        <w:rPr>
          <w:sz w:val="22"/>
          <w:szCs w:val="22"/>
        </w:rPr>
        <w:t xml:space="preserve">verse process of absorption </w:t>
      </w:r>
      <w:r w:rsidR="00625811" w:rsidRPr="000834B8">
        <w:rPr>
          <w:sz w:val="22"/>
          <w:szCs w:val="22"/>
        </w:rPr>
        <w:t>had not been</w:t>
      </w:r>
      <w:r w:rsidR="00F45F71" w:rsidRPr="000834B8">
        <w:rPr>
          <w:sz w:val="22"/>
          <w:szCs w:val="22"/>
        </w:rPr>
        <w:t xml:space="preserve"> deduced </w:t>
      </w:r>
      <w:r w:rsidR="00625811" w:rsidRPr="000834B8">
        <w:rPr>
          <w:sz w:val="22"/>
          <w:szCs w:val="22"/>
        </w:rPr>
        <w:t xml:space="preserve">in </w:t>
      </w:r>
      <w:r w:rsidR="00F45F71" w:rsidRPr="000834B8">
        <w:rPr>
          <w:sz w:val="22"/>
          <w:szCs w:val="22"/>
        </w:rPr>
        <w:t>previous works</w:t>
      </w:r>
      <w:r w:rsidR="00625811" w:rsidRPr="000834B8">
        <w:rPr>
          <w:sz w:val="22"/>
          <w:szCs w:val="22"/>
        </w:rPr>
        <w:t>.</w:t>
      </w:r>
      <w:r w:rsidR="00F45F71" w:rsidRPr="000834B8">
        <w:rPr>
          <w:sz w:val="22"/>
          <w:szCs w:val="22"/>
        </w:rPr>
        <w:t xml:space="preserve"> </w:t>
      </w:r>
      <w:r w:rsidR="00625811" w:rsidRPr="000834B8">
        <w:rPr>
          <w:sz w:val="22"/>
          <w:szCs w:val="22"/>
        </w:rPr>
        <w:t>I</w:t>
      </w:r>
      <w:r w:rsidR="00F45F71" w:rsidRPr="000834B8">
        <w:rPr>
          <w:sz w:val="22"/>
          <w:szCs w:val="22"/>
        </w:rPr>
        <w:t>mportantly</w:t>
      </w:r>
      <w:r w:rsidR="00625811" w:rsidRPr="000834B8">
        <w:rPr>
          <w:sz w:val="22"/>
          <w:szCs w:val="22"/>
        </w:rPr>
        <w:t>,</w:t>
      </w:r>
      <w:r w:rsidR="00F45F71" w:rsidRPr="000834B8">
        <w:rPr>
          <w:sz w:val="22"/>
          <w:szCs w:val="22"/>
        </w:rPr>
        <w:t xml:space="preserve"> the numerical agreement of one</w:t>
      </w:r>
      <w:r w:rsidR="00940D10" w:rsidRPr="000834B8">
        <w:rPr>
          <w:sz w:val="22"/>
          <w:szCs w:val="22"/>
        </w:rPr>
        <w:t xml:space="preserve"> V</w:t>
      </w:r>
      <w:r w:rsidR="00940D10" w:rsidRPr="000834B8">
        <w:rPr>
          <w:sz w:val="22"/>
          <w:szCs w:val="22"/>
          <w:vertAlign w:val="subscript"/>
        </w:rPr>
        <w:t>OC</w:t>
      </w:r>
      <w:r w:rsidR="00F45F71" w:rsidRPr="000834B8">
        <w:rPr>
          <w:sz w:val="22"/>
          <w:szCs w:val="22"/>
        </w:rPr>
        <w:t xml:space="preserve"> value using Rau’s re</w:t>
      </w:r>
      <w:r w:rsidR="0040491A">
        <w:rPr>
          <w:sz w:val="22"/>
          <w:szCs w:val="22"/>
        </w:rPr>
        <w:t>ci</w:t>
      </w:r>
      <w:r w:rsidR="00F45F71" w:rsidRPr="000834B8">
        <w:rPr>
          <w:sz w:val="22"/>
          <w:szCs w:val="22"/>
        </w:rPr>
        <w:t>procity is not sufficient to show this</w:t>
      </w:r>
      <w:r w:rsidR="00940D10" w:rsidRPr="000834B8">
        <w:rPr>
          <w:sz w:val="22"/>
          <w:szCs w:val="22"/>
        </w:rPr>
        <w:t xml:space="preserve"> </w:t>
      </w:r>
      <w:r w:rsidR="00625811" w:rsidRPr="000834B8">
        <w:rPr>
          <w:sz w:val="22"/>
          <w:szCs w:val="22"/>
        </w:rPr>
        <w:t xml:space="preserve">relation </w:t>
      </w:r>
      <w:r w:rsidR="00940D10" w:rsidRPr="000834B8">
        <w:rPr>
          <w:sz w:val="22"/>
          <w:szCs w:val="22"/>
        </w:rPr>
        <w:t>either</w:t>
      </w:r>
      <w:r w:rsidR="00F45F71" w:rsidRPr="000834B8">
        <w:rPr>
          <w:sz w:val="22"/>
          <w:szCs w:val="22"/>
        </w:rPr>
        <w:t xml:space="preserve">.  </w:t>
      </w:r>
      <w:r w:rsidR="001C1837" w:rsidRPr="000834B8">
        <w:rPr>
          <w:sz w:val="22"/>
          <w:szCs w:val="22"/>
        </w:rPr>
        <w:t>V</w:t>
      </w:r>
      <w:r w:rsidR="001C1837" w:rsidRPr="000834B8">
        <w:rPr>
          <w:sz w:val="22"/>
          <w:szCs w:val="22"/>
          <w:vertAlign w:val="subscript"/>
        </w:rPr>
        <w:t>OC</w:t>
      </w:r>
      <w:r w:rsidR="001C1837" w:rsidRPr="000834B8">
        <w:rPr>
          <w:sz w:val="22"/>
          <w:szCs w:val="22"/>
        </w:rPr>
        <w:t xml:space="preserve"> depends on many different factors</w:t>
      </w:r>
      <w:r w:rsidR="00F45F71" w:rsidRPr="000834B8">
        <w:rPr>
          <w:sz w:val="22"/>
          <w:szCs w:val="22"/>
        </w:rPr>
        <w:t xml:space="preserve"> including device architecture, layer morphology, contact layers, </w:t>
      </w:r>
      <w:r w:rsidR="00940D10" w:rsidRPr="000834B8">
        <w:rPr>
          <w:sz w:val="22"/>
          <w:szCs w:val="22"/>
        </w:rPr>
        <w:t>age of device, atmospheric exposure and more</w:t>
      </w:r>
      <w:r w:rsidR="0052777F" w:rsidRPr="000834B8">
        <w:rPr>
          <w:sz w:val="22"/>
          <w:szCs w:val="22"/>
        </w:rPr>
        <w:t>. A</w:t>
      </w:r>
      <w:r w:rsidR="00625811" w:rsidRPr="000834B8">
        <w:rPr>
          <w:sz w:val="22"/>
          <w:szCs w:val="22"/>
        </w:rPr>
        <w:t xml:space="preserve">s a result, </w:t>
      </w:r>
      <w:r w:rsidR="00347415" w:rsidRPr="000834B8">
        <w:rPr>
          <w:sz w:val="22"/>
          <w:szCs w:val="22"/>
        </w:rPr>
        <w:t xml:space="preserve">the reasons for </w:t>
      </w:r>
      <w:r w:rsidR="00625811" w:rsidRPr="000834B8">
        <w:rPr>
          <w:sz w:val="22"/>
          <w:szCs w:val="22"/>
        </w:rPr>
        <w:t>open-circuit losses are a subject of investigation in their own right in the perovskite PV community at the moment.</w:t>
      </w:r>
      <w:r w:rsidR="00F45F71" w:rsidRPr="000834B8">
        <w:rPr>
          <w:sz w:val="22"/>
          <w:szCs w:val="22"/>
        </w:rPr>
        <w:t xml:space="preserve"> </w:t>
      </w:r>
      <w:r w:rsidR="00625811" w:rsidRPr="000834B8">
        <w:rPr>
          <w:sz w:val="22"/>
          <w:szCs w:val="22"/>
        </w:rPr>
        <w:t>H</w:t>
      </w:r>
      <w:r w:rsidR="00F45F71" w:rsidRPr="000834B8">
        <w:rPr>
          <w:sz w:val="22"/>
          <w:szCs w:val="22"/>
        </w:rPr>
        <w:t xml:space="preserve">ence a single numerical co-agreement </w:t>
      </w:r>
      <w:r w:rsidR="00990513" w:rsidRPr="000834B8">
        <w:rPr>
          <w:sz w:val="22"/>
          <w:szCs w:val="22"/>
        </w:rPr>
        <w:t>is not conclusive evidence</w:t>
      </w:r>
      <w:r w:rsidR="00940D10" w:rsidRPr="000834B8">
        <w:rPr>
          <w:sz w:val="22"/>
          <w:szCs w:val="22"/>
        </w:rPr>
        <w:t xml:space="preserve"> of </w:t>
      </w:r>
      <w:r w:rsidR="00625811" w:rsidRPr="000834B8">
        <w:rPr>
          <w:sz w:val="22"/>
          <w:szCs w:val="22"/>
        </w:rPr>
        <w:t>any</w:t>
      </w:r>
      <w:r w:rsidR="00940D10" w:rsidRPr="000834B8">
        <w:rPr>
          <w:sz w:val="22"/>
          <w:szCs w:val="22"/>
        </w:rPr>
        <w:t xml:space="preserve"> relation between absorption and bimolecular recombination.  </w:t>
      </w:r>
    </w:p>
    <w:p w14:paraId="688FEA66" w14:textId="1D78988A" w:rsidR="004C47BA" w:rsidRPr="000834B8" w:rsidRDefault="00E403CD" w:rsidP="0058358C">
      <w:pPr>
        <w:rPr>
          <w:sz w:val="22"/>
          <w:szCs w:val="22"/>
        </w:rPr>
      </w:pPr>
      <w:r w:rsidRPr="000834B8">
        <w:rPr>
          <w:sz w:val="22"/>
          <w:szCs w:val="22"/>
        </w:rPr>
        <w:t>We also stress that while we agree with the referee that our finding is broadly sensible, t</w:t>
      </w:r>
      <w:r w:rsidR="004C47BA" w:rsidRPr="000834B8">
        <w:rPr>
          <w:sz w:val="22"/>
          <w:szCs w:val="22"/>
        </w:rPr>
        <w:t>he field</w:t>
      </w:r>
      <w:r w:rsidR="00940D10" w:rsidRPr="000834B8">
        <w:rPr>
          <w:sz w:val="22"/>
          <w:szCs w:val="22"/>
        </w:rPr>
        <w:t xml:space="preserve"> has </w:t>
      </w:r>
      <w:r w:rsidRPr="000834B8">
        <w:rPr>
          <w:sz w:val="22"/>
          <w:szCs w:val="22"/>
        </w:rPr>
        <w:t xml:space="preserve">never-the-less </w:t>
      </w:r>
      <w:r w:rsidR="00940D10" w:rsidRPr="000834B8">
        <w:rPr>
          <w:sz w:val="22"/>
          <w:szCs w:val="22"/>
        </w:rPr>
        <w:t xml:space="preserve">been </w:t>
      </w:r>
      <w:r w:rsidRPr="000834B8">
        <w:rPr>
          <w:sz w:val="22"/>
          <w:szCs w:val="22"/>
        </w:rPr>
        <w:t>inundated with</w:t>
      </w:r>
      <w:r w:rsidR="004C47BA" w:rsidRPr="000834B8">
        <w:rPr>
          <w:sz w:val="22"/>
          <w:szCs w:val="22"/>
        </w:rPr>
        <w:t xml:space="preserve"> </w:t>
      </w:r>
      <w:r w:rsidR="00590EEB" w:rsidRPr="000834B8">
        <w:rPr>
          <w:sz w:val="22"/>
          <w:szCs w:val="22"/>
        </w:rPr>
        <w:t>unusual</w:t>
      </w:r>
      <w:r w:rsidRPr="000834B8">
        <w:rPr>
          <w:sz w:val="22"/>
          <w:szCs w:val="22"/>
        </w:rPr>
        <w:t xml:space="preserve"> and mostly quantitatively unverified alternative mechanisms for bimolecular recombination.</w:t>
      </w:r>
      <w:r w:rsidR="004C47BA" w:rsidRPr="000834B8">
        <w:rPr>
          <w:sz w:val="22"/>
          <w:szCs w:val="22"/>
        </w:rPr>
        <w:t xml:space="preserve"> </w:t>
      </w:r>
      <w:r w:rsidRPr="000834B8">
        <w:rPr>
          <w:sz w:val="22"/>
          <w:szCs w:val="22"/>
        </w:rPr>
        <w:t>Our</w:t>
      </w:r>
      <w:r w:rsidR="005E3737" w:rsidRPr="000834B8">
        <w:rPr>
          <w:sz w:val="22"/>
          <w:szCs w:val="22"/>
        </w:rPr>
        <w:t xml:space="preserve"> work is able to strongly refute</w:t>
      </w:r>
      <w:r w:rsidR="00E82EBC" w:rsidRPr="000834B8">
        <w:rPr>
          <w:sz w:val="22"/>
          <w:szCs w:val="22"/>
        </w:rPr>
        <w:t xml:space="preserve"> </w:t>
      </w:r>
      <w:r w:rsidRPr="000834B8">
        <w:rPr>
          <w:sz w:val="22"/>
          <w:szCs w:val="22"/>
        </w:rPr>
        <w:t xml:space="preserve">these </w:t>
      </w:r>
      <w:r w:rsidR="00E82EBC" w:rsidRPr="000834B8">
        <w:rPr>
          <w:sz w:val="22"/>
          <w:szCs w:val="22"/>
        </w:rPr>
        <w:t>and</w:t>
      </w:r>
      <w:r w:rsidR="005E3737" w:rsidRPr="000834B8">
        <w:rPr>
          <w:sz w:val="22"/>
          <w:szCs w:val="22"/>
        </w:rPr>
        <w:t xml:space="preserve"> </w:t>
      </w:r>
      <w:r w:rsidRPr="000834B8">
        <w:rPr>
          <w:sz w:val="22"/>
          <w:szCs w:val="22"/>
        </w:rPr>
        <w:t xml:space="preserve">will therefore </w:t>
      </w:r>
      <w:r w:rsidR="005E3737" w:rsidRPr="000834B8">
        <w:rPr>
          <w:sz w:val="22"/>
          <w:szCs w:val="22"/>
        </w:rPr>
        <w:t>help to conclude th</w:t>
      </w:r>
      <w:r w:rsidRPr="000834B8">
        <w:rPr>
          <w:sz w:val="22"/>
          <w:szCs w:val="22"/>
        </w:rPr>
        <w:t>is</w:t>
      </w:r>
      <w:r w:rsidR="005E3737" w:rsidRPr="000834B8">
        <w:rPr>
          <w:sz w:val="22"/>
          <w:szCs w:val="22"/>
        </w:rPr>
        <w:t xml:space="preserve"> discourse in the literature</w:t>
      </w:r>
      <w:r w:rsidR="00346083" w:rsidRPr="000834B8">
        <w:rPr>
          <w:sz w:val="22"/>
          <w:szCs w:val="22"/>
        </w:rPr>
        <w:t>.</w:t>
      </w:r>
      <w:r w:rsidR="002A62DB" w:rsidRPr="000834B8">
        <w:rPr>
          <w:sz w:val="22"/>
          <w:szCs w:val="22"/>
        </w:rPr>
        <w:t xml:space="preserve"> </w:t>
      </w:r>
      <w:r w:rsidRPr="000834B8">
        <w:rPr>
          <w:sz w:val="22"/>
          <w:szCs w:val="22"/>
        </w:rPr>
        <w:t xml:space="preserve">Referee 1 broadly agrees with our arguments here, pointing out that we </w:t>
      </w:r>
      <w:r w:rsidR="00FD7A9F" w:rsidRPr="000834B8">
        <w:rPr>
          <w:i/>
          <w:sz w:val="22"/>
          <w:szCs w:val="22"/>
        </w:rPr>
        <w:t xml:space="preserve">“are largely successful and argue for an elegant and simple solution to a process for which other authors have invoked some rather exotic physical phenomena. I find the arguments largely compelling and am certain </w:t>
      </w:r>
      <w:r w:rsidR="00FD7A9F" w:rsidRPr="000834B8">
        <w:rPr>
          <w:i/>
          <w:sz w:val="22"/>
          <w:szCs w:val="22"/>
        </w:rPr>
        <w:lastRenderedPageBreak/>
        <w:t>they will be of significant interest to the community.”</w:t>
      </w:r>
      <w:r w:rsidR="00FD7A9F" w:rsidRPr="000834B8">
        <w:rPr>
          <w:sz w:val="22"/>
          <w:szCs w:val="22"/>
        </w:rPr>
        <w:t>.</w:t>
      </w:r>
      <w:r w:rsidR="00F970FF" w:rsidRPr="000834B8">
        <w:rPr>
          <w:sz w:val="22"/>
          <w:szCs w:val="22"/>
        </w:rPr>
        <w:t xml:space="preserve">  </w:t>
      </w:r>
      <w:r w:rsidRPr="000834B8">
        <w:rPr>
          <w:sz w:val="22"/>
          <w:szCs w:val="22"/>
        </w:rPr>
        <w:t xml:space="preserve">In summary, our article offers definitive evidence of the relation between absorption and bimolecular recombination, and details the physical significance of this relation in the context of future device fabrication.  </w:t>
      </w:r>
      <w:r w:rsidR="00F970FF" w:rsidRPr="000834B8">
        <w:rPr>
          <w:sz w:val="22"/>
          <w:szCs w:val="22"/>
        </w:rPr>
        <w:t xml:space="preserve">By performing a temperature dependent study, we are able to </w:t>
      </w:r>
      <w:r w:rsidRPr="000834B8">
        <w:rPr>
          <w:sz w:val="22"/>
          <w:szCs w:val="22"/>
        </w:rPr>
        <w:t xml:space="preserve">reveal </w:t>
      </w:r>
      <w:r w:rsidR="00F970FF" w:rsidRPr="000834B8">
        <w:rPr>
          <w:sz w:val="22"/>
          <w:szCs w:val="22"/>
        </w:rPr>
        <w:t>a</w:t>
      </w:r>
      <w:r w:rsidRPr="000834B8">
        <w:rPr>
          <w:sz w:val="22"/>
          <w:szCs w:val="22"/>
        </w:rPr>
        <w:t>n unambiguous and quantitative proof for the mechanism of</w:t>
      </w:r>
      <w:r w:rsidR="00803B9A" w:rsidRPr="000834B8">
        <w:rPr>
          <w:sz w:val="22"/>
          <w:szCs w:val="22"/>
        </w:rPr>
        <w:t xml:space="preserve"> bimolecular </w:t>
      </w:r>
      <w:r w:rsidRPr="000834B8">
        <w:rPr>
          <w:sz w:val="22"/>
          <w:szCs w:val="22"/>
        </w:rPr>
        <w:t xml:space="preserve">charge-carrier </w:t>
      </w:r>
      <w:r w:rsidR="00803B9A" w:rsidRPr="000834B8">
        <w:rPr>
          <w:sz w:val="22"/>
          <w:szCs w:val="22"/>
        </w:rPr>
        <w:t>recombination and</w:t>
      </w:r>
      <w:r w:rsidR="00F970FF" w:rsidRPr="000834B8">
        <w:rPr>
          <w:sz w:val="22"/>
          <w:szCs w:val="22"/>
        </w:rPr>
        <w:t xml:space="preserve">, as </w:t>
      </w:r>
      <w:r w:rsidR="00347415" w:rsidRPr="000834B8">
        <w:rPr>
          <w:sz w:val="22"/>
          <w:szCs w:val="22"/>
        </w:rPr>
        <w:t>this Referee 2</w:t>
      </w:r>
      <w:r w:rsidR="00F970FF" w:rsidRPr="000834B8">
        <w:rPr>
          <w:sz w:val="22"/>
          <w:szCs w:val="22"/>
        </w:rPr>
        <w:t xml:space="preserve"> poin</w:t>
      </w:r>
      <w:r w:rsidRPr="000834B8">
        <w:rPr>
          <w:sz w:val="22"/>
          <w:szCs w:val="22"/>
        </w:rPr>
        <w:t>t</w:t>
      </w:r>
      <w:r w:rsidR="00347415" w:rsidRPr="000834B8">
        <w:rPr>
          <w:sz w:val="22"/>
          <w:szCs w:val="22"/>
        </w:rPr>
        <w:t>s</w:t>
      </w:r>
      <w:r w:rsidR="00F970FF" w:rsidRPr="000834B8">
        <w:rPr>
          <w:sz w:val="22"/>
          <w:szCs w:val="22"/>
        </w:rPr>
        <w:t xml:space="preserve"> out, </w:t>
      </w:r>
      <w:r w:rsidR="00347415" w:rsidRPr="000834B8">
        <w:rPr>
          <w:sz w:val="22"/>
          <w:szCs w:val="22"/>
        </w:rPr>
        <w:t xml:space="preserve">also </w:t>
      </w:r>
      <w:r w:rsidRPr="000834B8">
        <w:rPr>
          <w:sz w:val="22"/>
          <w:szCs w:val="22"/>
        </w:rPr>
        <w:t>firm evidence</w:t>
      </w:r>
      <w:r w:rsidR="00F970FF" w:rsidRPr="000834B8">
        <w:rPr>
          <w:sz w:val="22"/>
          <w:szCs w:val="22"/>
        </w:rPr>
        <w:t xml:space="preserve"> that bimolecular recombination in MAPbI</w:t>
      </w:r>
      <w:r w:rsidR="00F970FF" w:rsidRPr="0040491A">
        <w:rPr>
          <w:sz w:val="22"/>
          <w:szCs w:val="22"/>
          <w:vertAlign w:val="subscript"/>
        </w:rPr>
        <w:t>3</w:t>
      </w:r>
      <w:r w:rsidR="00F970FF" w:rsidRPr="000834B8">
        <w:rPr>
          <w:sz w:val="22"/>
          <w:szCs w:val="22"/>
        </w:rPr>
        <w:t xml:space="preserve"> is always radiative.</w:t>
      </w:r>
    </w:p>
    <w:p w14:paraId="5EFE58CB" w14:textId="77777777" w:rsidR="001C1837" w:rsidRPr="000834B8" w:rsidRDefault="001C1837" w:rsidP="0058358C">
      <w:pPr>
        <w:rPr>
          <w:sz w:val="22"/>
          <w:szCs w:val="22"/>
        </w:rPr>
      </w:pPr>
    </w:p>
    <w:p w14:paraId="0DF29EFD" w14:textId="77777777" w:rsidR="004E159B" w:rsidRPr="000834B8" w:rsidRDefault="004E159B" w:rsidP="00ED16E9">
      <w:pPr>
        <w:rPr>
          <w:b/>
          <w:sz w:val="22"/>
          <w:szCs w:val="22"/>
        </w:rPr>
      </w:pPr>
    </w:p>
    <w:p w14:paraId="339BF790" w14:textId="58960CAF"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There is a second question related to</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this finding, namely, whether other processes than free carrier recombination in the MAPI</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bulk (such as emission from defects) contribute to photon emission. A recent work by Felix</w:t>
      </w:r>
      <w:r w:rsidR="00C865A4" w:rsidRPr="000834B8">
        <w:rPr>
          <w:rFonts w:ascii="Times New Roman" w:hAnsi="Times New Roman" w:cs="Times New Roman"/>
          <w:b/>
          <w:sz w:val="22"/>
          <w:szCs w:val="22"/>
        </w:rPr>
        <w:t xml:space="preserve"> </w:t>
      </w:r>
      <w:proofErr w:type="spellStart"/>
      <w:r w:rsidRPr="000834B8">
        <w:rPr>
          <w:rFonts w:ascii="Times New Roman" w:hAnsi="Times New Roman" w:cs="Times New Roman"/>
          <w:b/>
          <w:sz w:val="22"/>
          <w:szCs w:val="22"/>
        </w:rPr>
        <w:t>Deschler</w:t>
      </w:r>
      <w:proofErr w:type="spellEnd"/>
      <w:r w:rsidRPr="000834B8">
        <w:rPr>
          <w:rFonts w:ascii="Times New Roman" w:hAnsi="Times New Roman" w:cs="Times New Roman"/>
          <w:b/>
          <w:sz w:val="22"/>
          <w:szCs w:val="22"/>
        </w:rPr>
        <w:t xml:space="preserve"> however revealed an unambiguous second order relation between the PL emission</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 xml:space="preserve">rate and the carrier density in the device [J.M. Richter et al., Nat. </w:t>
      </w:r>
      <w:proofErr w:type="spellStart"/>
      <w:r w:rsidRPr="000834B8">
        <w:rPr>
          <w:rFonts w:ascii="Times New Roman" w:hAnsi="Times New Roman" w:cs="Times New Roman"/>
          <w:b/>
          <w:sz w:val="22"/>
          <w:szCs w:val="22"/>
        </w:rPr>
        <w:t>Commun</w:t>
      </w:r>
      <w:proofErr w:type="spellEnd"/>
      <w:r w:rsidRPr="000834B8">
        <w:rPr>
          <w:rFonts w:ascii="Times New Roman" w:hAnsi="Times New Roman" w:cs="Times New Roman"/>
          <w:b/>
          <w:sz w:val="22"/>
          <w:szCs w:val="22"/>
        </w:rPr>
        <w:t xml:space="preserve">. </w:t>
      </w:r>
      <w:r w:rsidRPr="000834B8">
        <w:rPr>
          <w:rFonts w:ascii="Times New Roman" w:hAnsi="Times New Roman" w:cs="Times New Roman"/>
          <w:b/>
          <w:bCs/>
          <w:sz w:val="22"/>
          <w:szCs w:val="22"/>
        </w:rPr>
        <w:t>7</w:t>
      </w:r>
      <w:r w:rsidRPr="000834B8">
        <w:rPr>
          <w:rFonts w:ascii="Times New Roman" w:hAnsi="Times New Roman" w:cs="Times New Roman"/>
          <w:b/>
          <w:sz w:val="22"/>
          <w:szCs w:val="22"/>
        </w:rPr>
        <w:t>, 13941 (2016).].</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This result provides firm proof that photon emission origins exclusively from a two-body</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process, namely free carrier formation. In view of these findings, certain parts of the paper</w:t>
      </w:r>
      <w:r w:rsidR="00C865A4" w:rsidRPr="000834B8">
        <w:rPr>
          <w:rFonts w:ascii="Times New Roman" w:hAnsi="Times New Roman" w:cs="Times New Roman"/>
          <w:b/>
          <w:sz w:val="22"/>
          <w:szCs w:val="22"/>
        </w:rPr>
        <w:t xml:space="preserve"> </w:t>
      </w:r>
      <w:r w:rsidRPr="000834B8">
        <w:rPr>
          <w:rFonts w:ascii="Times New Roman" w:hAnsi="Times New Roman" w:cs="Times New Roman"/>
          <w:b/>
          <w:sz w:val="22"/>
          <w:szCs w:val="22"/>
        </w:rPr>
        <w:t>need to be reconsidered, with proper reference to the work cited above (and related work).</w:t>
      </w:r>
    </w:p>
    <w:p w14:paraId="55505734" w14:textId="77777777" w:rsidR="00ED0665" w:rsidRPr="000834B8" w:rsidRDefault="00ED0665">
      <w:pPr>
        <w:rPr>
          <w:b/>
          <w:sz w:val="22"/>
          <w:szCs w:val="22"/>
          <w:u w:val="single"/>
        </w:rPr>
      </w:pPr>
    </w:p>
    <w:p w14:paraId="20EACA7E" w14:textId="77777777" w:rsidR="00ED0665" w:rsidRPr="000834B8" w:rsidRDefault="00ED0665" w:rsidP="00ED0665">
      <w:pPr>
        <w:rPr>
          <w:sz w:val="22"/>
          <w:szCs w:val="22"/>
        </w:rPr>
      </w:pPr>
      <w:r w:rsidRPr="000834B8">
        <w:rPr>
          <w:sz w:val="22"/>
          <w:szCs w:val="22"/>
        </w:rPr>
        <w:t xml:space="preserve">Author reply: </w:t>
      </w:r>
    </w:p>
    <w:p w14:paraId="7033BE51" w14:textId="0B45B679" w:rsidR="00202E58" w:rsidRPr="000834B8" w:rsidRDefault="00202E58" w:rsidP="00202E58">
      <w:pPr>
        <w:rPr>
          <w:sz w:val="22"/>
          <w:szCs w:val="22"/>
        </w:rPr>
      </w:pPr>
      <w:r w:rsidRPr="000834B8">
        <w:rPr>
          <w:sz w:val="22"/>
          <w:szCs w:val="22"/>
        </w:rPr>
        <w:t xml:space="preserve">We </w:t>
      </w:r>
      <w:r w:rsidR="005D3971" w:rsidRPr="000834B8">
        <w:rPr>
          <w:sz w:val="22"/>
          <w:szCs w:val="22"/>
        </w:rPr>
        <w:t xml:space="preserve">fully </w:t>
      </w:r>
      <w:r w:rsidRPr="000834B8">
        <w:rPr>
          <w:sz w:val="22"/>
          <w:szCs w:val="22"/>
        </w:rPr>
        <w:t xml:space="preserve">agree with the referee that </w:t>
      </w:r>
      <w:r w:rsidR="005D3971" w:rsidRPr="000834B8">
        <w:rPr>
          <w:sz w:val="22"/>
          <w:szCs w:val="22"/>
        </w:rPr>
        <w:t xml:space="preserve">the validity of the </w:t>
      </w:r>
      <w:proofErr w:type="spellStart"/>
      <w:r w:rsidR="005D3971" w:rsidRPr="000834B8">
        <w:rPr>
          <w:sz w:val="22"/>
          <w:szCs w:val="22"/>
        </w:rPr>
        <w:t>Roosbroeck</w:t>
      </w:r>
      <w:proofErr w:type="spellEnd"/>
      <w:r w:rsidR="005D3971" w:rsidRPr="000834B8">
        <w:rPr>
          <w:sz w:val="22"/>
          <w:szCs w:val="22"/>
        </w:rPr>
        <w:t xml:space="preserve">-Shockley relation means that </w:t>
      </w:r>
      <w:r w:rsidRPr="000834B8">
        <w:rPr>
          <w:sz w:val="22"/>
          <w:szCs w:val="22"/>
        </w:rPr>
        <w:t xml:space="preserve">bimolecular recombination is a fully radiative process and we have now added a statement to </w:t>
      </w:r>
      <w:r w:rsidR="005D3971" w:rsidRPr="000834B8">
        <w:rPr>
          <w:sz w:val="22"/>
          <w:szCs w:val="22"/>
        </w:rPr>
        <w:t>point this out clearly</w:t>
      </w:r>
      <w:r w:rsidRPr="000834B8">
        <w:rPr>
          <w:sz w:val="22"/>
          <w:szCs w:val="22"/>
        </w:rPr>
        <w:t xml:space="preserve">.  There are also </w:t>
      </w:r>
      <w:r w:rsidR="005D3971" w:rsidRPr="000834B8">
        <w:rPr>
          <w:sz w:val="22"/>
          <w:szCs w:val="22"/>
        </w:rPr>
        <w:t xml:space="preserve">some </w:t>
      </w:r>
      <w:r w:rsidRPr="000834B8">
        <w:rPr>
          <w:sz w:val="22"/>
          <w:szCs w:val="22"/>
        </w:rPr>
        <w:t xml:space="preserve">earlier works </w:t>
      </w:r>
      <w:r w:rsidR="005D3971" w:rsidRPr="000834B8">
        <w:rPr>
          <w:sz w:val="22"/>
          <w:szCs w:val="22"/>
        </w:rPr>
        <w:t xml:space="preserve">commenting on this matter </w:t>
      </w:r>
      <w:r w:rsidRPr="000834B8">
        <w:rPr>
          <w:sz w:val="22"/>
          <w:szCs w:val="22"/>
        </w:rPr>
        <w:t xml:space="preserve">that </w:t>
      </w:r>
      <w:r w:rsidR="005D3971" w:rsidRPr="000834B8">
        <w:rPr>
          <w:sz w:val="22"/>
          <w:szCs w:val="22"/>
        </w:rPr>
        <w:t>precede the paper by</w:t>
      </w:r>
      <w:r w:rsidRPr="000834B8">
        <w:rPr>
          <w:sz w:val="22"/>
          <w:szCs w:val="22"/>
        </w:rPr>
        <w:t xml:space="preserve"> Richter</w:t>
      </w:r>
      <w:r w:rsidR="005D3971" w:rsidRPr="000834B8">
        <w:rPr>
          <w:sz w:val="22"/>
          <w:szCs w:val="22"/>
        </w:rPr>
        <w:t xml:space="preserve"> (which is mainly on self-absorption effects)</w:t>
      </w:r>
      <w:r w:rsidRPr="000834B8">
        <w:rPr>
          <w:sz w:val="22"/>
          <w:szCs w:val="22"/>
        </w:rPr>
        <w:t xml:space="preserve">, notably </w:t>
      </w:r>
      <w:r w:rsidR="008B268C" w:rsidRPr="000834B8">
        <w:rPr>
          <w:sz w:val="22"/>
          <w:szCs w:val="22"/>
        </w:rPr>
        <w:t xml:space="preserve">M Saba </w:t>
      </w:r>
      <w:r w:rsidR="007B3983" w:rsidRPr="000834B8">
        <w:rPr>
          <w:sz w:val="22"/>
          <w:szCs w:val="22"/>
        </w:rPr>
        <w:t xml:space="preserve">et al., </w:t>
      </w:r>
      <w:r w:rsidR="008B268C" w:rsidRPr="000834B8">
        <w:rPr>
          <w:i/>
          <w:sz w:val="22"/>
          <w:szCs w:val="22"/>
        </w:rPr>
        <w:t xml:space="preserve">Nat. </w:t>
      </w:r>
      <w:proofErr w:type="spellStart"/>
      <w:r w:rsidR="008B268C" w:rsidRPr="000834B8">
        <w:rPr>
          <w:i/>
          <w:sz w:val="22"/>
          <w:szCs w:val="22"/>
        </w:rPr>
        <w:t>Commun</w:t>
      </w:r>
      <w:proofErr w:type="spellEnd"/>
      <w:r w:rsidR="008B268C" w:rsidRPr="000834B8">
        <w:rPr>
          <w:i/>
          <w:sz w:val="22"/>
          <w:szCs w:val="22"/>
        </w:rPr>
        <w:t>.</w:t>
      </w:r>
      <w:r w:rsidR="008B268C" w:rsidRPr="000834B8">
        <w:rPr>
          <w:sz w:val="22"/>
          <w:szCs w:val="22"/>
        </w:rPr>
        <w:t xml:space="preserve"> </w:t>
      </w:r>
      <w:r w:rsidR="008B268C" w:rsidRPr="000834B8">
        <w:rPr>
          <w:b/>
          <w:sz w:val="22"/>
          <w:szCs w:val="22"/>
        </w:rPr>
        <w:t>2014</w:t>
      </w:r>
      <w:r w:rsidR="008B268C" w:rsidRPr="000834B8">
        <w:rPr>
          <w:sz w:val="22"/>
          <w:szCs w:val="22"/>
        </w:rPr>
        <w:t xml:space="preserve">, 5, 5049 </w:t>
      </w:r>
      <w:r w:rsidRPr="000834B8">
        <w:rPr>
          <w:sz w:val="22"/>
          <w:szCs w:val="22"/>
        </w:rPr>
        <w:t xml:space="preserve">and M B Johnston and L M Herz </w:t>
      </w:r>
      <w:r w:rsidRPr="000834B8">
        <w:rPr>
          <w:i/>
          <w:iCs/>
          <w:sz w:val="22"/>
          <w:szCs w:val="22"/>
        </w:rPr>
        <w:t>Acc. Chem. Res.</w:t>
      </w:r>
      <w:r w:rsidRPr="000834B8">
        <w:rPr>
          <w:sz w:val="22"/>
          <w:szCs w:val="22"/>
        </w:rPr>
        <w:t>, </w:t>
      </w:r>
      <w:r w:rsidRPr="000834B8">
        <w:rPr>
          <w:b/>
          <w:bCs/>
          <w:sz w:val="22"/>
          <w:szCs w:val="22"/>
        </w:rPr>
        <w:t>2016</w:t>
      </w:r>
      <w:r w:rsidRPr="000834B8">
        <w:rPr>
          <w:sz w:val="22"/>
          <w:szCs w:val="22"/>
        </w:rPr>
        <w:t>, </w:t>
      </w:r>
      <w:r w:rsidRPr="000834B8">
        <w:rPr>
          <w:i/>
          <w:iCs/>
          <w:sz w:val="22"/>
          <w:szCs w:val="22"/>
        </w:rPr>
        <w:t>49</w:t>
      </w:r>
      <w:r w:rsidR="008B268C" w:rsidRPr="000834B8">
        <w:rPr>
          <w:sz w:val="22"/>
          <w:szCs w:val="22"/>
        </w:rPr>
        <w:t xml:space="preserve"> (1), </w:t>
      </w:r>
      <w:r w:rsidRPr="000834B8">
        <w:rPr>
          <w:sz w:val="22"/>
          <w:szCs w:val="22"/>
        </w:rPr>
        <w:t xml:space="preserve">146–154 and </w:t>
      </w:r>
      <w:r w:rsidR="0052777F" w:rsidRPr="000834B8">
        <w:rPr>
          <w:sz w:val="22"/>
          <w:szCs w:val="22"/>
        </w:rPr>
        <w:t xml:space="preserve">these </w:t>
      </w:r>
      <w:r w:rsidRPr="000834B8">
        <w:rPr>
          <w:sz w:val="22"/>
          <w:szCs w:val="22"/>
        </w:rPr>
        <w:t xml:space="preserve">have </w:t>
      </w:r>
      <w:r w:rsidR="0052777F" w:rsidRPr="000834B8">
        <w:rPr>
          <w:sz w:val="22"/>
          <w:szCs w:val="22"/>
        </w:rPr>
        <w:t xml:space="preserve">now also </w:t>
      </w:r>
      <w:r w:rsidRPr="000834B8">
        <w:rPr>
          <w:sz w:val="22"/>
          <w:szCs w:val="22"/>
        </w:rPr>
        <w:t>been included in the citations along with Richter’s paper.</w:t>
      </w:r>
    </w:p>
    <w:p w14:paraId="6C2FB30E" w14:textId="77777777" w:rsidR="00F21BA6" w:rsidRPr="000834B8" w:rsidRDefault="00F21BA6" w:rsidP="00ED0665">
      <w:pPr>
        <w:rPr>
          <w:sz w:val="22"/>
          <w:szCs w:val="22"/>
        </w:rPr>
      </w:pPr>
    </w:p>
    <w:p w14:paraId="43E3F5E3" w14:textId="77777777" w:rsidR="00202E58" w:rsidRPr="000834B8" w:rsidRDefault="00202E58" w:rsidP="00202E58">
      <w:pPr>
        <w:rPr>
          <w:color w:val="FF0000"/>
          <w:sz w:val="22"/>
          <w:szCs w:val="22"/>
        </w:rPr>
      </w:pPr>
      <w:r w:rsidRPr="000834B8">
        <w:rPr>
          <w:color w:val="FF0000"/>
          <w:sz w:val="22"/>
          <w:szCs w:val="22"/>
        </w:rPr>
        <w:t>Changes made:</w:t>
      </w:r>
    </w:p>
    <w:p w14:paraId="093B4C1E" w14:textId="474CBC66" w:rsidR="009306C7" w:rsidRPr="000834B8" w:rsidRDefault="00202E58" w:rsidP="00202E58">
      <w:pPr>
        <w:rPr>
          <w:color w:val="FF0000"/>
          <w:sz w:val="22"/>
          <w:szCs w:val="22"/>
        </w:rPr>
      </w:pPr>
      <w:r w:rsidRPr="000834B8">
        <w:rPr>
          <w:color w:val="FF0000"/>
          <w:sz w:val="22"/>
          <w:szCs w:val="22"/>
        </w:rPr>
        <w:t xml:space="preserve">On page </w:t>
      </w:r>
      <w:r w:rsidR="005D3971" w:rsidRPr="000834B8">
        <w:rPr>
          <w:color w:val="FF0000"/>
          <w:sz w:val="22"/>
          <w:szCs w:val="22"/>
        </w:rPr>
        <w:t>13, a</w:t>
      </w:r>
      <w:r w:rsidRPr="000834B8">
        <w:rPr>
          <w:color w:val="FF0000"/>
          <w:sz w:val="22"/>
          <w:szCs w:val="22"/>
        </w:rPr>
        <w:t>dded</w:t>
      </w:r>
      <w:r w:rsidR="00762871" w:rsidRPr="000834B8">
        <w:rPr>
          <w:color w:val="FF0000"/>
          <w:sz w:val="22"/>
          <w:szCs w:val="22"/>
        </w:rPr>
        <w:t xml:space="preserve"> after: [</w:t>
      </w:r>
      <w:r w:rsidR="00762871" w:rsidRPr="000834B8">
        <w:rPr>
          <w:i/>
          <w:color w:val="FF0000"/>
          <w:sz w:val="22"/>
          <w:szCs w:val="22"/>
        </w:rPr>
        <w:t xml:space="preserve">… </w:t>
      </w:r>
      <w:r w:rsidR="005D3971" w:rsidRPr="000834B8">
        <w:rPr>
          <w:i/>
          <w:color w:val="FF0000"/>
          <w:sz w:val="22"/>
          <w:szCs w:val="22"/>
        </w:rPr>
        <w:t>that these processes can be seen as the inverse of absorption</w:t>
      </w:r>
      <w:r w:rsidR="009306C7" w:rsidRPr="000834B8">
        <w:rPr>
          <w:i/>
          <w:color w:val="FF0000"/>
          <w:sz w:val="22"/>
          <w:szCs w:val="22"/>
        </w:rPr>
        <w:t>.</w:t>
      </w:r>
      <w:r w:rsidR="00762871" w:rsidRPr="000834B8">
        <w:rPr>
          <w:color w:val="FF0000"/>
          <w:sz w:val="22"/>
          <w:szCs w:val="22"/>
        </w:rPr>
        <w:t>]</w:t>
      </w:r>
      <w:r w:rsidRPr="000834B8">
        <w:rPr>
          <w:color w:val="FF0000"/>
          <w:sz w:val="22"/>
          <w:szCs w:val="22"/>
        </w:rPr>
        <w:t xml:space="preserve"> </w:t>
      </w:r>
    </w:p>
    <w:p w14:paraId="1B5CD737" w14:textId="0A593805" w:rsidR="00202E58" w:rsidRPr="000834B8" w:rsidRDefault="006B4E85" w:rsidP="006B4E85">
      <w:pPr>
        <w:rPr>
          <w:sz w:val="22"/>
          <w:szCs w:val="22"/>
        </w:rPr>
      </w:pPr>
      <w:r w:rsidRPr="000834B8">
        <w:rPr>
          <w:color w:val="FF0000"/>
          <w:sz w:val="22"/>
          <w:szCs w:val="22"/>
        </w:rPr>
        <w:t>“</w:t>
      </w:r>
      <w:r w:rsidR="005D3971" w:rsidRPr="000834B8">
        <w:rPr>
          <w:color w:val="FF0000"/>
          <w:sz w:val="22"/>
          <w:szCs w:val="22"/>
        </w:rPr>
        <w:t>and are fully radiative</w:t>
      </w:r>
      <w:r w:rsidRPr="000834B8">
        <w:rPr>
          <w:color w:val="FF0000"/>
          <w:sz w:val="22"/>
          <w:szCs w:val="22"/>
        </w:rPr>
        <w:t>[CITATIONS].”</w:t>
      </w:r>
      <w:r w:rsidR="00202E58" w:rsidRPr="000834B8">
        <w:rPr>
          <w:sz w:val="22"/>
          <w:szCs w:val="22"/>
        </w:rPr>
        <w:t xml:space="preserve"> </w:t>
      </w:r>
    </w:p>
    <w:p w14:paraId="41D78910" w14:textId="77777777" w:rsidR="00E10E78" w:rsidRPr="000834B8" w:rsidRDefault="00E10E78" w:rsidP="00202E58">
      <w:pPr>
        <w:rPr>
          <w:sz w:val="22"/>
          <w:szCs w:val="22"/>
        </w:rPr>
      </w:pPr>
    </w:p>
    <w:p w14:paraId="70D80D97" w14:textId="4000DF6B" w:rsidR="005D3971" w:rsidRPr="000834B8" w:rsidRDefault="005D3971" w:rsidP="00202E58">
      <w:pPr>
        <w:rPr>
          <w:sz w:val="22"/>
          <w:szCs w:val="22"/>
        </w:rPr>
      </w:pPr>
      <w:r w:rsidRPr="000834B8">
        <w:rPr>
          <w:sz w:val="22"/>
          <w:szCs w:val="22"/>
        </w:rPr>
        <w:t>Added reference to the following CITATIONS:</w:t>
      </w:r>
    </w:p>
    <w:p w14:paraId="71D25D57" w14:textId="25C51703" w:rsidR="00D31EDF" w:rsidRPr="000834B8" w:rsidRDefault="00D31EDF" w:rsidP="00202E58">
      <w:pPr>
        <w:rPr>
          <w:color w:val="FF0000"/>
          <w:sz w:val="22"/>
          <w:szCs w:val="22"/>
        </w:rPr>
      </w:pPr>
      <w:r w:rsidRPr="000834B8">
        <w:rPr>
          <w:color w:val="FF0000"/>
          <w:sz w:val="22"/>
          <w:szCs w:val="22"/>
        </w:rPr>
        <w:t xml:space="preserve">M Saba </w:t>
      </w:r>
      <w:r w:rsidR="007B3983" w:rsidRPr="000834B8">
        <w:rPr>
          <w:color w:val="FF0000"/>
          <w:sz w:val="22"/>
          <w:szCs w:val="22"/>
        </w:rPr>
        <w:t xml:space="preserve">et al., </w:t>
      </w:r>
      <w:r w:rsidRPr="000834B8">
        <w:rPr>
          <w:i/>
          <w:color w:val="FF0000"/>
          <w:sz w:val="22"/>
          <w:szCs w:val="22"/>
        </w:rPr>
        <w:t xml:space="preserve">Nat. </w:t>
      </w:r>
      <w:proofErr w:type="spellStart"/>
      <w:r w:rsidRPr="000834B8">
        <w:rPr>
          <w:i/>
          <w:color w:val="FF0000"/>
          <w:sz w:val="22"/>
          <w:szCs w:val="22"/>
        </w:rPr>
        <w:t>Commun</w:t>
      </w:r>
      <w:proofErr w:type="spellEnd"/>
      <w:r w:rsidRPr="000834B8">
        <w:rPr>
          <w:i/>
          <w:color w:val="FF0000"/>
          <w:sz w:val="22"/>
          <w:szCs w:val="22"/>
        </w:rPr>
        <w:t>.</w:t>
      </w:r>
      <w:r w:rsidRPr="000834B8">
        <w:rPr>
          <w:color w:val="FF0000"/>
          <w:sz w:val="22"/>
          <w:szCs w:val="22"/>
        </w:rPr>
        <w:t xml:space="preserve"> </w:t>
      </w:r>
      <w:r w:rsidRPr="000834B8">
        <w:rPr>
          <w:b/>
          <w:color w:val="FF0000"/>
          <w:sz w:val="22"/>
          <w:szCs w:val="22"/>
        </w:rPr>
        <w:t>2014</w:t>
      </w:r>
      <w:r w:rsidRPr="000834B8">
        <w:rPr>
          <w:color w:val="FF0000"/>
          <w:sz w:val="22"/>
          <w:szCs w:val="22"/>
        </w:rPr>
        <w:t>, 5, 5049</w:t>
      </w:r>
    </w:p>
    <w:p w14:paraId="7E19CAEC" w14:textId="616DFB7B" w:rsidR="00202E58" w:rsidRPr="000834B8" w:rsidRDefault="00202E58" w:rsidP="00202E58">
      <w:pPr>
        <w:rPr>
          <w:color w:val="FF0000"/>
          <w:sz w:val="22"/>
          <w:szCs w:val="22"/>
        </w:rPr>
      </w:pPr>
      <w:r w:rsidRPr="000834B8">
        <w:rPr>
          <w:color w:val="FF0000"/>
          <w:sz w:val="22"/>
          <w:szCs w:val="22"/>
        </w:rPr>
        <w:t xml:space="preserve">M B Johnston and L M Herz </w:t>
      </w:r>
      <w:r w:rsidRPr="000834B8">
        <w:rPr>
          <w:i/>
          <w:iCs/>
          <w:color w:val="FF0000"/>
          <w:sz w:val="22"/>
          <w:szCs w:val="22"/>
        </w:rPr>
        <w:t>Acc. Chem. Res.</w:t>
      </w:r>
      <w:r w:rsidRPr="000834B8">
        <w:rPr>
          <w:color w:val="FF0000"/>
          <w:sz w:val="22"/>
          <w:szCs w:val="22"/>
        </w:rPr>
        <w:t>, </w:t>
      </w:r>
      <w:r w:rsidRPr="000834B8">
        <w:rPr>
          <w:b/>
          <w:bCs/>
          <w:color w:val="FF0000"/>
          <w:sz w:val="22"/>
          <w:szCs w:val="22"/>
        </w:rPr>
        <w:t>2016</w:t>
      </w:r>
      <w:r w:rsidRPr="000834B8">
        <w:rPr>
          <w:color w:val="FF0000"/>
          <w:sz w:val="22"/>
          <w:szCs w:val="22"/>
        </w:rPr>
        <w:t>, </w:t>
      </w:r>
      <w:r w:rsidRPr="000834B8">
        <w:rPr>
          <w:i/>
          <w:iCs/>
          <w:color w:val="FF0000"/>
          <w:sz w:val="22"/>
          <w:szCs w:val="22"/>
        </w:rPr>
        <w:t>49</w:t>
      </w:r>
      <w:r w:rsidR="00CF7377" w:rsidRPr="000834B8">
        <w:rPr>
          <w:color w:val="FF0000"/>
          <w:sz w:val="22"/>
          <w:szCs w:val="22"/>
        </w:rPr>
        <w:t xml:space="preserve"> (1), </w:t>
      </w:r>
      <w:r w:rsidRPr="000834B8">
        <w:rPr>
          <w:color w:val="FF0000"/>
          <w:sz w:val="22"/>
          <w:szCs w:val="22"/>
        </w:rPr>
        <w:t>146–154</w:t>
      </w:r>
    </w:p>
    <w:p w14:paraId="3E8AB23A" w14:textId="77777777" w:rsidR="00202E58" w:rsidRPr="000834B8" w:rsidRDefault="00202E58" w:rsidP="00202E58">
      <w:pPr>
        <w:rPr>
          <w:color w:val="FF0000"/>
          <w:sz w:val="22"/>
          <w:szCs w:val="22"/>
        </w:rPr>
      </w:pPr>
      <w:r w:rsidRPr="000834B8">
        <w:rPr>
          <w:color w:val="FF0000"/>
          <w:sz w:val="22"/>
          <w:szCs w:val="22"/>
        </w:rPr>
        <w:t xml:space="preserve">J.M. Richter et al., </w:t>
      </w:r>
      <w:r w:rsidRPr="000834B8">
        <w:rPr>
          <w:i/>
          <w:color w:val="FF0000"/>
          <w:sz w:val="22"/>
          <w:szCs w:val="22"/>
        </w:rPr>
        <w:t xml:space="preserve">Nat. </w:t>
      </w:r>
      <w:proofErr w:type="spellStart"/>
      <w:r w:rsidRPr="000834B8">
        <w:rPr>
          <w:i/>
          <w:color w:val="FF0000"/>
          <w:sz w:val="22"/>
          <w:szCs w:val="22"/>
        </w:rPr>
        <w:t>Commun</w:t>
      </w:r>
      <w:proofErr w:type="spellEnd"/>
      <w:r w:rsidRPr="000834B8">
        <w:rPr>
          <w:i/>
          <w:color w:val="FF0000"/>
          <w:sz w:val="22"/>
          <w:szCs w:val="22"/>
        </w:rPr>
        <w:t>.</w:t>
      </w:r>
      <w:r w:rsidRPr="000834B8">
        <w:rPr>
          <w:color w:val="FF0000"/>
          <w:sz w:val="22"/>
          <w:szCs w:val="22"/>
        </w:rPr>
        <w:t xml:space="preserve">, </w:t>
      </w:r>
      <w:r w:rsidRPr="000834B8">
        <w:rPr>
          <w:bCs/>
          <w:color w:val="FF0000"/>
          <w:sz w:val="22"/>
          <w:szCs w:val="22"/>
        </w:rPr>
        <w:t>7</w:t>
      </w:r>
      <w:r w:rsidRPr="000834B8">
        <w:rPr>
          <w:color w:val="FF0000"/>
          <w:sz w:val="22"/>
          <w:szCs w:val="22"/>
        </w:rPr>
        <w:t>, 13941</w:t>
      </w:r>
      <w:r w:rsidRPr="000834B8">
        <w:rPr>
          <w:b/>
          <w:color w:val="FF0000"/>
          <w:sz w:val="22"/>
          <w:szCs w:val="22"/>
        </w:rPr>
        <w:t xml:space="preserve"> (2016).</w:t>
      </w:r>
    </w:p>
    <w:p w14:paraId="09738348" w14:textId="77777777" w:rsidR="009C14B1" w:rsidRPr="000834B8" w:rsidRDefault="009C14B1" w:rsidP="009C14B1">
      <w:pPr>
        <w:rPr>
          <w:color w:val="FF0000"/>
          <w:sz w:val="22"/>
          <w:szCs w:val="22"/>
        </w:rPr>
      </w:pPr>
      <w:r w:rsidRPr="000834B8">
        <w:rPr>
          <w:color w:val="FF0000"/>
          <w:sz w:val="22"/>
          <w:szCs w:val="22"/>
        </w:rPr>
        <w:t xml:space="preserve">T Crothers </w:t>
      </w:r>
      <w:r w:rsidRPr="000834B8">
        <w:rPr>
          <w:i/>
          <w:iCs/>
          <w:color w:val="FF0000"/>
          <w:sz w:val="22"/>
          <w:szCs w:val="22"/>
        </w:rPr>
        <w:t>Nano Lett.</w:t>
      </w:r>
      <w:r w:rsidRPr="000834B8">
        <w:rPr>
          <w:color w:val="FF0000"/>
          <w:sz w:val="22"/>
          <w:szCs w:val="22"/>
        </w:rPr>
        <w:t>, </w:t>
      </w:r>
      <w:r w:rsidRPr="000834B8">
        <w:rPr>
          <w:b/>
          <w:bCs/>
          <w:color w:val="FF0000"/>
          <w:sz w:val="22"/>
          <w:szCs w:val="22"/>
        </w:rPr>
        <w:t>2017</w:t>
      </w:r>
      <w:r w:rsidRPr="000834B8">
        <w:rPr>
          <w:color w:val="FF0000"/>
          <w:sz w:val="22"/>
          <w:szCs w:val="22"/>
        </w:rPr>
        <w:t>, </w:t>
      </w:r>
      <w:r w:rsidRPr="000834B8">
        <w:rPr>
          <w:i/>
          <w:iCs/>
          <w:color w:val="FF0000"/>
          <w:sz w:val="22"/>
          <w:szCs w:val="22"/>
        </w:rPr>
        <w:t>17</w:t>
      </w:r>
      <w:r w:rsidRPr="000834B8">
        <w:rPr>
          <w:color w:val="FF0000"/>
          <w:sz w:val="22"/>
          <w:szCs w:val="22"/>
        </w:rPr>
        <w:t> (9), 5782–5789</w:t>
      </w:r>
    </w:p>
    <w:p w14:paraId="6D88CBC1" w14:textId="77777777" w:rsidR="00ED0665" w:rsidRPr="000834B8" w:rsidRDefault="00ED0665">
      <w:pPr>
        <w:rPr>
          <w:b/>
          <w:sz w:val="22"/>
          <w:szCs w:val="22"/>
          <w:u w:val="single"/>
        </w:rPr>
      </w:pPr>
    </w:p>
    <w:p w14:paraId="46BE3DE1" w14:textId="7CD287E1"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2. My second remark concerns the simulation of the absorption spectra using GW. I actually</w:t>
      </w:r>
    </w:p>
    <w:p w14:paraId="0B58CA2A" w14:textId="77777777"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enjoyed reading this section but I wonder how (and whether) the results of this simulation</w:t>
      </w:r>
    </w:p>
    <w:p w14:paraId="68507689" w14:textId="0333AE99"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studies contribute to the main conclusion paper, which is the reciprocity between free char</w:t>
      </w:r>
      <w:r w:rsidR="00F51670" w:rsidRPr="000834B8">
        <w:rPr>
          <w:rFonts w:ascii="Times New Roman" w:hAnsi="Times New Roman" w:cs="Times New Roman"/>
          <w:b/>
          <w:sz w:val="22"/>
          <w:szCs w:val="22"/>
        </w:rPr>
        <w:t>g</w:t>
      </w:r>
      <w:r w:rsidRPr="000834B8">
        <w:rPr>
          <w:rFonts w:ascii="Times New Roman" w:hAnsi="Times New Roman" w:cs="Times New Roman"/>
          <w:b/>
          <w:sz w:val="22"/>
          <w:szCs w:val="22"/>
        </w:rPr>
        <w:t>e</w:t>
      </w:r>
    </w:p>
    <w:p w14:paraId="71E05855" w14:textId="77777777"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bimolecular recombination and photon absorption. If I understand correctly, k2 in Figure 3b</w:t>
      </w:r>
    </w:p>
    <w:p w14:paraId="46A9AAAB" w14:textId="77777777"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was calculated on the basis of the experimental absorption spectra (corrected for the</w:t>
      </w:r>
    </w:p>
    <w:p w14:paraId="76052A46" w14:textId="77777777" w:rsidR="00ED0665" w:rsidRPr="000834B8" w:rsidRDefault="00ED0665" w:rsidP="00ED0665">
      <w:pPr>
        <w:pStyle w:val="p1"/>
        <w:rPr>
          <w:rFonts w:ascii="Times New Roman" w:hAnsi="Times New Roman" w:cs="Times New Roman"/>
          <w:b/>
          <w:sz w:val="22"/>
          <w:szCs w:val="22"/>
        </w:rPr>
      </w:pPr>
      <w:proofErr w:type="spellStart"/>
      <w:r w:rsidRPr="000834B8">
        <w:rPr>
          <w:rFonts w:ascii="Times New Roman" w:hAnsi="Times New Roman" w:cs="Times New Roman"/>
          <w:b/>
          <w:sz w:val="22"/>
          <w:szCs w:val="22"/>
        </w:rPr>
        <w:t>excitonic</w:t>
      </w:r>
      <w:proofErr w:type="spellEnd"/>
      <w:r w:rsidRPr="000834B8">
        <w:rPr>
          <w:rFonts w:ascii="Times New Roman" w:hAnsi="Times New Roman" w:cs="Times New Roman"/>
          <w:b/>
          <w:sz w:val="22"/>
          <w:szCs w:val="22"/>
        </w:rPr>
        <w:t xml:space="preserve"> contribution), only, and the main input from the simulation work is the effective</w:t>
      </w:r>
    </w:p>
    <w:p w14:paraId="3F33BC8F" w14:textId="77777777"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mass of electrons and holes. I actually noticed that the agreement between the measured</w:t>
      </w:r>
    </w:p>
    <w:p w14:paraId="3ED5A0FA" w14:textId="77777777"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absorption spectrum and the one calculated from GW is not that convincing when plotted on</w:t>
      </w:r>
    </w:p>
    <w:p w14:paraId="248D674C" w14:textId="77777777"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the same energy scale, though the absolute absorption coefficient is rather well reproduced.</w:t>
      </w:r>
    </w:p>
    <w:p w14:paraId="5FC0853B" w14:textId="77777777" w:rsidR="00ED0665" w:rsidRPr="000834B8" w:rsidRDefault="00ED0665" w:rsidP="00ED0665">
      <w:pPr>
        <w:pStyle w:val="p1"/>
        <w:rPr>
          <w:rFonts w:ascii="Times New Roman" w:hAnsi="Times New Roman" w:cs="Times New Roman"/>
          <w:b/>
          <w:sz w:val="22"/>
          <w:szCs w:val="22"/>
        </w:rPr>
      </w:pPr>
      <w:r w:rsidRPr="000834B8">
        <w:rPr>
          <w:rFonts w:ascii="Times New Roman" w:hAnsi="Times New Roman" w:cs="Times New Roman"/>
          <w:b/>
          <w:sz w:val="22"/>
          <w:szCs w:val="22"/>
        </w:rPr>
        <w:t xml:space="preserve">This </w:t>
      </w:r>
      <w:proofErr w:type="spellStart"/>
      <w:r w:rsidRPr="000834B8">
        <w:rPr>
          <w:rFonts w:ascii="Times New Roman" w:hAnsi="Times New Roman" w:cs="Times New Roman"/>
          <w:b/>
          <w:sz w:val="22"/>
          <w:szCs w:val="22"/>
        </w:rPr>
        <w:t>decreapancy</w:t>
      </w:r>
      <w:proofErr w:type="spellEnd"/>
      <w:r w:rsidRPr="000834B8">
        <w:rPr>
          <w:rFonts w:ascii="Times New Roman" w:hAnsi="Times New Roman" w:cs="Times New Roman"/>
          <w:b/>
          <w:sz w:val="22"/>
          <w:szCs w:val="22"/>
        </w:rPr>
        <w:t xml:space="preserve"> needs to be addressed in the revised version of the manuscript.</w:t>
      </w:r>
    </w:p>
    <w:p w14:paraId="09EC1DA9" w14:textId="77777777" w:rsidR="00ED0665" w:rsidRPr="000834B8" w:rsidRDefault="00ED0665" w:rsidP="00ED0665">
      <w:pPr>
        <w:pStyle w:val="p1"/>
        <w:rPr>
          <w:rFonts w:ascii="Times New Roman" w:hAnsi="Times New Roman" w:cs="Times New Roman"/>
          <w:b/>
          <w:sz w:val="22"/>
          <w:szCs w:val="22"/>
        </w:rPr>
      </w:pPr>
    </w:p>
    <w:p w14:paraId="4835EE17" w14:textId="77777777" w:rsidR="00ED0665" w:rsidRPr="000834B8" w:rsidRDefault="00ED0665" w:rsidP="00ED0665">
      <w:pPr>
        <w:rPr>
          <w:sz w:val="22"/>
          <w:szCs w:val="22"/>
        </w:rPr>
      </w:pPr>
      <w:r w:rsidRPr="000834B8">
        <w:rPr>
          <w:sz w:val="22"/>
          <w:szCs w:val="22"/>
        </w:rPr>
        <w:t xml:space="preserve">Author reply: </w:t>
      </w:r>
    </w:p>
    <w:p w14:paraId="57FBD18E" w14:textId="77777777" w:rsidR="00ED0665" w:rsidRPr="000834B8" w:rsidRDefault="00ED0665" w:rsidP="00ED0665">
      <w:pPr>
        <w:rPr>
          <w:sz w:val="22"/>
          <w:szCs w:val="22"/>
        </w:rPr>
      </w:pPr>
    </w:p>
    <w:p w14:paraId="13A2632D" w14:textId="113212FE" w:rsidR="00E45200" w:rsidRPr="000834B8" w:rsidRDefault="005430B8" w:rsidP="00ED0665">
      <w:pPr>
        <w:rPr>
          <w:sz w:val="22"/>
          <w:szCs w:val="22"/>
        </w:rPr>
      </w:pPr>
      <w:r w:rsidRPr="000834B8">
        <w:rPr>
          <w:sz w:val="22"/>
          <w:szCs w:val="22"/>
        </w:rPr>
        <w:t xml:space="preserve">We </w:t>
      </w:r>
      <w:r w:rsidR="00993DA2" w:rsidRPr="000834B8">
        <w:rPr>
          <w:sz w:val="22"/>
          <w:szCs w:val="22"/>
        </w:rPr>
        <w:t xml:space="preserve">thank the referee for her/his positive comments about </w:t>
      </w:r>
      <w:r w:rsidR="006B4FB1" w:rsidRPr="000834B8">
        <w:rPr>
          <w:sz w:val="22"/>
          <w:szCs w:val="22"/>
        </w:rPr>
        <w:t>our</w:t>
      </w:r>
      <w:r w:rsidRPr="000834B8">
        <w:rPr>
          <w:sz w:val="22"/>
          <w:szCs w:val="22"/>
        </w:rPr>
        <w:t xml:space="preserve"> ab initio calculations </w:t>
      </w:r>
      <w:r w:rsidR="00993DA2" w:rsidRPr="000834B8">
        <w:rPr>
          <w:sz w:val="22"/>
          <w:szCs w:val="22"/>
        </w:rPr>
        <w:t>for</w:t>
      </w:r>
      <w:r w:rsidRPr="000834B8">
        <w:rPr>
          <w:sz w:val="22"/>
          <w:szCs w:val="22"/>
        </w:rPr>
        <w:t xml:space="preserve"> MAPbI</w:t>
      </w:r>
      <w:r w:rsidRPr="000834B8">
        <w:rPr>
          <w:sz w:val="22"/>
          <w:szCs w:val="22"/>
          <w:vertAlign w:val="subscript"/>
        </w:rPr>
        <w:t>3</w:t>
      </w:r>
      <w:r w:rsidR="00993DA2" w:rsidRPr="000834B8">
        <w:rPr>
          <w:sz w:val="22"/>
          <w:szCs w:val="22"/>
        </w:rPr>
        <w:t>.</w:t>
      </w:r>
      <w:r w:rsidR="00623A28" w:rsidRPr="000834B8">
        <w:rPr>
          <w:sz w:val="22"/>
          <w:szCs w:val="22"/>
        </w:rPr>
        <w:t xml:space="preserve"> </w:t>
      </w:r>
      <w:r w:rsidR="00993DA2" w:rsidRPr="000834B8">
        <w:rPr>
          <w:sz w:val="22"/>
          <w:szCs w:val="22"/>
        </w:rPr>
        <w:t>T</w:t>
      </w:r>
      <w:r w:rsidR="00623A28" w:rsidRPr="000834B8">
        <w:rPr>
          <w:sz w:val="22"/>
          <w:szCs w:val="22"/>
        </w:rPr>
        <w:t xml:space="preserve">he referee </w:t>
      </w:r>
      <w:r w:rsidR="00993DA2" w:rsidRPr="000834B8">
        <w:rPr>
          <w:sz w:val="22"/>
          <w:szCs w:val="22"/>
        </w:rPr>
        <w:t xml:space="preserve">is </w:t>
      </w:r>
      <w:proofErr w:type="gramStart"/>
      <w:r w:rsidR="00993DA2" w:rsidRPr="000834B8">
        <w:rPr>
          <w:sz w:val="22"/>
          <w:szCs w:val="22"/>
        </w:rPr>
        <w:t>correct</w:t>
      </w:r>
      <w:proofErr w:type="gramEnd"/>
      <w:r w:rsidR="00993DA2" w:rsidRPr="000834B8">
        <w:rPr>
          <w:sz w:val="22"/>
          <w:szCs w:val="22"/>
        </w:rPr>
        <w:t xml:space="preserve"> in stating </w:t>
      </w:r>
      <w:r w:rsidR="00623A28" w:rsidRPr="000834B8">
        <w:rPr>
          <w:sz w:val="22"/>
          <w:szCs w:val="22"/>
        </w:rPr>
        <w:t xml:space="preserve">that </w:t>
      </w:r>
      <w:r w:rsidR="00993DA2" w:rsidRPr="000834B8">
        <w:rPr>
          <w:sz w:val="22"/>
          <w:szCs w:val="22"/>
        </w:rPr>
        <w:t>the value</w:t>
      </w:r>
      <w:r w:rsidR="00DB45A4" w:rsidRPr="000834B8">
        <w:rPr>
          <w:sz w:val="22"/>
          <w:szCs w:val="22"/>
        </w:rPr>
        <w:t>s</w:t>
      </w:r>
      <w:r w:rsidR="00993DA2" w:rsidRPr="000834B8">
        <w:rPr>
          <w:sz w:val="22"/>
          <w:szCs w:val="22"/>
        </w:rPr>
        <w:t xml:space="preserve"> of </w:t>
      </w:r>
      <w:r w:rsidR="00623A28" w:rsidRPr="000834B8">
        <w:rPr>
          <w:sz w:val="22"/>
          <w:szCs w:val="22"/>
        </w:rPr>
        <w:t>k</w:t>
      </w:r>
      <w:r w:rsidR="00623A28" w:rsidRPr="000834B8">
        <w:rPr>
          <w:sz w:val="22"/>
          <w:szCs w:val="22"/>
          <w:vertAlign w:val="subscript"/>
        </w:rPr>
        <w:t>2</w:t>
      </w:r>
      <w:r w:rsidR="00623A28" w:rsidRPr="000834B8">
        <w:rPr>
          <w:sz w:val="22"/>
          <w:szCs w:val="22"/>
        </w:rPr>
        <w:t xml:space="preserve"> </w:t>
      </w:r>
      <w:r w:rsidR="00993DA2" w:rsidRPr="000834B8">
        <w:rPr>
          <w:sz w:val="22"/>
          <w:szCs w:val="22"/>
        </w:rPr>
        <w:t xml:space="preserve">shown </w:t>
      </w:r>
      <w:r w:rsidR="00623A28" w:rsidRPr="000834B8">
        <w:rPr>
          <w:sz w:val="22"/>
          <w:szCs w:val="22"/>
        </w:rPr>
        <w:t>in Figure 3b w</w:t>
      </w:r>
      <w:r w:rsidR="00DB45A4" w:rsidRPr="000834B8">
        <w:rPr>
          <w:sz w:val="22"/>
          <w:szCs w:val="22"/>
        </w:rPr>
        <w:t>ere</w:t>
      </w:r>
      <w:r w:rsidR="00623A28" w:rsidRPr="000834B8">
        <w:rPr>
          <w:sz w:val="22"/>
          <w:szCs w:val="22"/>
        </w:rPr>
        <w:t xml:space="preserve"> calculated </w:t>
      </w:r>
      <w:r w:rsidR="00993DA2" w:rsidRPr="000834B8">
        <w:rPr>
          <w:sz w:val="22"/>
          <w:szCs w:val="22"/>
        </w:rPr>
        <w:t xml:space="preserve">from the van </w:t>
      </w:r>
      <w:proofErr w:type="spellStart"/>
      <w:r w:rsidR="00993DA2" w:rsidRPr="000834B8">
        <w:rPr>
          <w:sz w:val="22"/>
          <w:szCs w:val="22"/>
        </w:rPr>
        <w:t>Roosbroeck</w:t>
      </w:r>
      <w:proofErr w:type="spellEnd"/>
      <w:r w:rsidR="00993DA2" w:rsidRPr="000834B8">
        <w:rPr>
          <w:sz w:val="22"/>
          <w:szCs w:val="22"/>
        </w:rPr>
        <w:t xml:space="preserve"> and Shockley relation </w:t>
      </w:r>
      <w:r w:rsidR="00623A28" w:rsidRPr="000834B8">
        <w:rPr>
          <w:sz w:val="22"/>
          <w:szCs w:val="22"/>
        </w:rPr>
        <w:t>on the basis of the experimental absorption spectra</w:t>
      </w:r>
      <w:r w:rsidRPr="000834B8">
        <w:rPr>
          <w:sz w:val="22"/>
          <w:szCs w:val="22"/>
        </w:rPr>
        <w:t xml:space="preserve">. </w:t>
      </w:r>
      <w:r w:rsidR="00993DA2" w:rsidRPr="000834B8">
        <w:rPr>
          <w:sz w:val="22"/>
          <w:szCs w:val="22"/>
        </w:rPr>
        <w:t>We have now made a short addition to the manuscript so that this is completely clear.</w:t>
      </w:r>
    </w:p>
    <w:p w14:paraId="0028C65A" w14:textId="77777777" w:rsidR="00E45200" w:rsidRPr="000834B8" w:rsidRDefault="00E45200" w:rsidP="00ED0665">
      <w:pPr>
        <w:rPr>
          <w:sz w:val="22"/>
          <w:szCs w:val="22"/>
        </w:rPr>
      </w:pPr>
    </w:p>
    <w:p w14:paraId="25C67554" w14:textId="77777777" w:rsidR="00E45200" w:rsidRPr="000834B8" w:rsidRDefault="00E45200" w:rsidP="00E45200">
      <w:pPr>
        <w:rPr>
          <w:color w:val="FF0000"/>
          <w:sz w:val="22"/>
          <w:szCs w:val="22"/>
        </w:rPr>
      </w:pPr>
      <w:r w:rsidRPr="000834B8">
        <w:rPr>
          <w:color w:val="FF0000"/>
          <w:sz w:val="22"/>
          <w:szCs w:val="22"/>
        </w:rPr>
        <w:t>Changes made:</w:t>
      </w:r>
    </w:p>
    <w:p w14:paraId="498FEEF5" w14:textId="46EEDD3F" w:rsidR="00E45200" w:rsidRPr="000834B8" w:rsidRDefault="00E45200" w:rsidP="00E45200">
      <w:pPr>
        <w:rPr>
          <w:color w:val="FF0000"/>
          <w:sz w:val="22"/>
          <w:szCs w:val="22"/>
        </w:rPr>
      </w:pPr>
      <w:r w:rsidRPr="000834B8">
        <w:rPr>
          <w:color w:val="FF0000"/>
          <w:sz w:val="22"/>
          <w:szCs w:val="22"/>
        </w:rPr>
        <w:t xml:space="preserve">Caption of Figure 3: </w:t>
      </w:r>
    </w:p>
    <w:p w14:paraId="3962F034" w14:textId="00FC53C8" w:rsidR="00E45200" w:rsidRPr="000834B8" w:rsidRDefault="00E45200" w:rsidP="00E45200">
      <w:pPr>
        <w:rPr>
          <w:color w:val="FF0000"/>
          <w:sz w:val="22"/>
          <w:szCs w:val="22"/>
        </w:rPr>
      </w:pPr>
      <w:r w:rsidRPr="000834B8">
        <w:rPr>
          <w:color w:val="FF0000"/>
          <w:sz w:val="22"/>
          <w:szCs w:val="22"/>
        </w:rPr>
        <w:t>Added after: [</w:t>
      </w:r>
      <w:r w:rsidRPr="000834B8">
        <w:rPr>
          <w:i/>
          <w:color w:val="FF0000"/>
          <w:sz w:val="22"/>
          <w:szCs w:val="22"/>
        </w:rPr>
        <w:t xml:space="preserve">...determined through the van </w:t>
      </w:r>
      <w:proofErr w:type="spellStart"/>
      <w:r w:rsidRPr="000834B8">
        <w:rPr>
          <w:i/>
          <w:color w:val="FF0000"/>
          <w:sz w:val="22"/>
          <w:szCs w:val="22"/>
        </w:rPr>
        <w:t>Roosbroeck</w:t>
      </w:r>
      <w:proofErr w:type="spellEnd"/>
      <w:r w:rsidRPr="000834B8">
        <w:rPr>
          <w:i/>
          <w:color w:val="FF0000"/>
          <w:sz w:val="22"/>
          <w:szCs w:val="22"/>
        </w:rPr>
        <w:t xml:space="preserve"> and Shockley relation</w:t>
      </w:r>
      <w:r w:rsidRPr="000834B8">
        <w:rPr>
          <w:color w:val="FF0000"/>
          <w:sz w:val="22"/>
          <w:szCs w:val="22"/>
        </w:rPr>
        <w:t xml:space="preserve">] </w:t>
      </w:r>
      <w:r w:rsidR="00993DA2" w:rsidRPr="000834B8">
        <w:rPr>
          <w:color w:val="FF0000"/>
          <w:sz w:val="22"/>
          <w:szCs w:val="22"/>
        </w:rPr>
        <w:t xml:space="preserve">from fits to the </w:t>
      </w:r>
      <w:r w:rsidRPr="000834B8">
        <w:rPr>
          <w:color w:val="FF0000"/>
          <w:sz w:val="22"/>
          <w:szCs w:val="22"/>
        </w:rPr>
        <w:t xml:space="preserve">experimentally </w:t>
      </w:r>
      <w:r w:rsidR="00993DA2" w:rsidRPr="000834B8">
        <w:rPr>
          <w:color w:val="FF0000"/>
          <w:sz w:val="22"/>
          <w:szCs w:val="22"/>
        </w:rPr>
        <w:t xml:space="preserve">obtained absorption spectra [, </w:t>
      </w:r>
      <w:r w:rsidR="00993DA2" w:rsidRPr="000834B8">
        <w:rPr>
          <w:i/>
          <w:color w:val="FF0000"/>
          <w:sz w:val="22"/>
          <w:szCs w:val="22"/>
        </w:rPr>
        <w:t>based on either the</w:t>
      </w:r>
      <w:r w:rsidRPr="000834B8">
        <w:rPr>
          <w:color w:val="FF0000"/>
          <w:sz w:val="22"/>
          <w:szCs w:val="22"/>
        </w:rPr>
        <w:t xml:space="preserve"> …]</w:t>
      </w:r>
    </w:p>
    <w:p w14:paraId="374E2058" w14:textId="77777777" w:rsidR="00E45200" w:rsidRPr="000834B8" w:rsidRDefault="00E45200" w:rsidP="00ED0665">
      <w:pPr>
        <w:rPr>
          <w:sz w:val="22"/>
          <w:szCs w:val="22"/>
        </w:rPr>
      </w:pPr>
    </w:p>
    <w:p w14:paraId="3811EEBC" w14:textId="24AE052E" w:rsidR="00CA0300" w:rsidRPr="000834B8" w:rsidRDefault="00DB45A4" w:rsidP="00ED0665">
      <w:pPr>
        <w:rPr>
          <w:sz w:val="22"/>
          <w:szCs w:val="22"/>
        </w:rPr>
      </w:pPr>
      <w:r w:rsidRPr="000834B8">
        <w:rPr>
          <w:sz w:val="22"/>
          <w:szCs w:val="22"/>
        </w:rPr>
        <w:lastRenderedPageBreak/>
        <w:t xml:space="preserve">To clarify also the value added by these simulations, we note that they </w:t>
      </w:r>
      <w:r w:rsidR="00623A28" w:rsidRPr="000834B8">
        <w:rPr>
          <w:sz w:val="22"/>
          <w:szCs w:val="22"/>
        </w:rPr>
        <w:t>are extremely important</w:t>
      </w:r>
      <w:r w:rsidRPr="000834B8">
        <w:rPr>
          <w:sz w:val="22"/>
          <w:szCs w:val="22"/>
        </w:rPr>
        <w:t xml:space="preserve"> in</w:t>
      </w:r>
      <w:r w:rsidR="00623A28" w:rsidRPr="000834B8">
        <w:rPr>
          <w:sz w:val="22"/>
          <w:szCs w:val="22"/>
        </w:rPr>
        <w:t xml:space="preserve"> allow</w:t>
      </w:r>
      <w:r w:rsidRPr="000834B8">
        <w:rPr>
          <w:sz w:val="22"/>
          <w:szCs w:val="22"/>
        </w:rPr>
        <w:t>ing</w:t>
      </w:r>
      <w:r w:rsidR="00623A28" w:rsidRPr="000834B8">
        <w:rPr>
          <w:sz w:val="22"/>
          <w:szCs w:val="22"/>
        </w:rPr>
        <w:t xml:space="preserve"> us to</w:t>
      </w:r>
      <w:r w:rsidR="00A4065D" w:rsidRPr="000834B8">
        <w:rPr>
          <w:sz w:val="22"/>
          <w:szCs w:val="22"/>
        </w:rPr>
        <w:t xml:space="preserve"> both</w:t>
      </w:r>
      <w:r w:rsidR="00623A28" w:rsidRPr="000834B8">
        <w:rPr>
          <w:sz w:val="22"/>
          <w:szCs w:val="22"/>
        </w:rPr>
        <w:t xml:space="preserve"> demonstrate the applicability of Elliott’s theory to the absorption edge</w:t>
      </w:r>
      <w:r w:rsidR="00A4065D" w:rsidRPr="000834B8">
        <w:rPr>
          <w:sz w:val="22"/>
          <w:szCs w:val="22"/>
        </w:rPr>
        <w:t xml:space="preserve"> and determine </w:t>
      </w:r>
      <w:r w:rsidR="00E233CF" w:rsidRPr="000834B8">
        <w:rPr>
          <w:sz w:val="22"/>
          <w:szCs w:val="22"/>
        </w:rPr>
        <w:t xml:space="preserve">the </w:t>
      </w:r>
      <w:r w:rsidR="00A4065D" w:rsidRPr="000834B8">
        <w:rPr>
          <w:sz w:val="22"/>
          <w:szCs w:val="22"/>
        </w:rPr>
        <w:t>value</w:t>
      </w:r>
      <w:r w:rsidR="000650E2" w:rsidRPr="000834B8">
        <w:rPr>
          <w:sz w:val="22"/>
          <w:szCs w:val="22"/>
        </w:rPr>
        <w:t>s</w:t>
      </w:r>
      <w:r w:rsidR="00A4065D" w:rsidRPr="000834B8">
        <w:rPr>
          <w:sz w:val="22"/>
          <w:szCs w:val="22"/>
        </w:rPr>
        <w:t xml:space="preserve"> of the electron and hole effective masses</w:t>
      </w:r>
      <w:r w:rsidR="00FB4228" w:rsidRPr="000834B8">
        <w:rPr>
          <w:sz w:val="22"/>
          <w:szCs w:val="22"/>
        </w:rPr>
        <w:t xml:space="preserve">.  Elliott’s theory </w:t>
      </w:r>
      <w:r w:rsidRPr="000834B8">
        <w:rPr>
          <w:sz w:val="22"/>
          <w:szCs w:val="22"/>
        </w:rPr>
        <w:t>has recently been applied to hybrid perovskite absorption onsets but the deviations between experiment and theory has been</w:t>
      </w:r>
      <w:r w:rsidR="00623A28" w:rsidRPr="000834B8">
        <w:rPr>
          <w:sz w:val="22"/>
          <w:szCs w:val="22"/>
        </w:rPr>
        <w:t xml:space="preserve"> poorly understood</w:t>
      </w:r>
      <w:r w:rsidRPr="000834B8">
        <w:rPr>
          <w:sz w:val="22"/>
          <w:szCs w:val="22"/>
        </w:rPr>
        <w:t>,</w:t>
      </w:r>
      <w:r w:rsidR="00623A28" w:rsidRPr="000834B8">
        <w:rPr>
          <w:sz w:val="22"/>
          <w:szCs w:val="22"/>
        </w:rPr>
        <w:t xml:space="preserve"> </w:t>
      </w:r>
      <w:r w:rsidR="00FB4228" w:rsidRPr="000834B8">
        <w:rPr>
          <w:sz w:val="22"/>
          <w:szCs w:val="22"/>
        </w:rPr>
        <w:t xml:space="preserve">with </w:t>
      </w:r>
      <w:r w:rsidRPr="000834B8">
        <w:rPr>
          <w:sz w:val="22"/>
          <w:szCs w:val="22"/>
        </w:rPr>
        <w:t xml:space="preserve">previous </w:t>
      </w:r>
      <w:r w:rsidR="00FB4228" w:rsidRPr="000834B8">
        <w:rPr>
          <w:sz w:val="22"/>
          <w:szCs w:val="22"/>
        </w:rPr>
        <w:t xml:space="preserve">works ignoring the principle assumptions the model is based on.  The calculations of the material allow us to probe each assumption and discuss the validity </w:t>
      </w:r>
      <w:r w:rsidR="004018C3" w:rsidRPr="000834B8">
        <w:rPr>
          <w:sz w:val="22"/>
          <w:szCs w:val="22"/>
        </w:rPr>
        <w:t>of the model for MAPbI</w:t>
      </w:r>
      <w:r w:rsidR="004018C3" w:rsidRPr="000834B8">
        <w:rPr>
          <w:sz w:val="22"/>
          <w:szCs w:val="22"/>
          <w:vertAlign w:val="subscript"/>
        </w:rPr>
        <w:t>3</w:t>
      </w:r>
      <w:r w:rsidR="00FB4228" w:rsidRPr="000834B8">
        <w:rPr>
          <w:sz w:val="22"/>
          <w:szCs w:val="22"/>
        </w:rPr>
        <w:t>.</w:t>
      </w:r>
      <w:r w:rsidR="00281519" w:rsidRPr="000834B8">
        <w:rPr>
          <w:sz w:val="22"/>
          <w:szCs w:val="22"/>
        </w:rPr>
        <w:t xml:space="preserve">  </w:t>
      </w:r>
    </w:p>
    <w:p w14:paraId="0471DC53" w14:textId="77777777" w:rsidR="00281519" w:rsidRPr="000834B8" w:rsidRDefault="00281519" w:rsidP="00ED0665">
      <w:pPr>
        <w:rPr>
          <w:sz w:val="22"/>
          <w:szCs w:val="22"/>
        </w:rPr>
      </w:pPr>
    </w:p>
    <w:p w14:paraId="72A30F52" w14:textId="77777777" w:rsidR="00ED0665" w:rsidRPr="000834B8" w:rsidRDefault="00ED0665" w:rsidP="00ED0665">
      <w:pPr>
        <w:rPr>
          <w:color w:val="FF0000"/>
          <w:sz w:val="22"/>
          <w:szCs w:val="22"/>
        </w:rPr>
      </w:pPr>
      <w:r w:rsidRPr="000834B8">
        <w:rPr>
          <w:color w:val="FF0000"/>
          <w:sz w:val="22"/>
          <w:szCs w:val="22"/>
        </w:rPr>
        <w:t>Changes made:</w:t>
      </w:r>
    </w:p>
    <w:p w14:paraId="465322F2" w14:textId="77777777" w:rsidR="00EF46AE" w:rsidRPr="000834B8" w:rsidRDefault="00EF46AE" w:rsidP="00ED0665">
      <w:pPr>
        <w:rPr>
          <w:color w:val="FF0000"/>
          <w:sz w:val="22"/>
          <w:szCs w:val="22"/>
        </w:rPr>
      </w:pPr>
      <w:r w:rsidRPr="000834B8">
        <w:rPr>
          <w:color w:val="FF0000"/>
          <w:sz w:val="22"/>
          <w:szCs w:val="22"/>
        </w:rPr>
        <w:t>On page 9 Line 15</w:t>
      </w:r>
      <w:r w:rsidR="00ED0665" w:rsidRPr="000834B8">
        <w:rPr>
          <w:color w:val="FF0000"/>
          <w:sz w:val="22"/>
          <w:szCs w:val="22"/>
        </w:rPr>
        <w:t xml:space="preserve">: </w:t>
      </w:r>
    </w:p>
    <w:p w14:paraId="748FBBB7" w14:textId="5BDB4BFD" w:rsidR="00ED0665" w:rsidRPr="000834B8" w:rsidRDefault="00ED0665" w:rsidP="00ED0665">
      <w:pPr>
        <w:rPr>
          <w:color w:val="FF0000"/>
          <w:sz w:val="22"/>
          <w:szCs w:val="22"/>
        </w:rPr>
      </w:pPr>
      <w:r w:rsidRPr="000834B8">
        <w:rPr>
          <w:color w:val="FF0000"/>
          <w:sz w:val="22"/>
          <w:szCs w:val="22"/>
        </w:rPr>
        <w:t>Added “</w:t>
      </w:r>
      <w:r w:rsidR="00EF46AE" w:rsidRPr="000834B8">
        <w:rPr>
          <w:color w:val="FF0000"/>
          <w:sz w:val="22"/>
          <w:szCs w:val="22"/>
        </w:rPr>
        <w:t>[</w:t>
      </w:r>
      <w:r w:rsidR="00EF46AE" w:rsidRPr="000834B8">
        <w:rPr>
          <w:i/>
          <w:color w:val="FF0000"/>
          <w:sz w:val="22"/>
          <w:szCs w:val="22"/>
        </w:rPr>
        <w:t>… coefficient spectrum of CH3NH3PbI3</w:t>
      </w:r>
      <w:r w:rsidR="00EF46AE" w:rsidRPr="000834B8">
        <w:rPr>
          <w:color w:val="FF0000"/>
          <w:sz w:val="22"/>
          <w:szCs w:val="22"/>
        </w:rPr>
        <w:t xml:space="preserve">.]  </w:t>
      </w:r>
      <w:r w:rsidR="00DB45A4" w:rsidRPr="000834B8">
        <w:rPr>
          <w:color w:val="FF0000"/>
          <w:sz w:val="22"/>
          <w:szCs w:val="22"/>
        </w:rPr>
        <w:t>Hence these a</w:t>
      </w:r>
      <w:r w:rsidR="003C7383" w:rsidRPr="000834B8">
        <w:rPr>
          <w:color w:val="FF0000"/>
          <w:sz w:val="22"/>
          <w:szCs w:val="22"/>
        </w:rPr>
        <w:t xml:space="preserve">b initio calculations have </w:t>
      </w:r>
      <w:r w:rsidR="00A53871" w:rsidRPr="000834B8">
        <w:rPr>
          <w:color w:val="FF0000"/>
          <w:sz w:val="22"/>
          <w:szCs w:val="22"/>
        </w:rPr>
        <w:t>enabled</w:t>
      </w:r>
      <w:r w:rsidR="003C7383" w:rsidRPr="000834B8">
        <w:rPr>
          <w:color w:val="FF0000"/>
          <w:sz w:val="22"/>
          <w:szCs w:val="22"/>
        </w:rPr>
        <w:t xml:space="preserve"> us to </w:t>
      </w:r>
      <w:r w:rsidR="00E112E3" w:rsidRPr="000834B8">
        <w:rPr>
          <w:color w:val="FF0000"/>
          <w:sz w:val="22"/>
          <w:szCs w:val="22"/>
        </w:rPr>
        <w:t xml:space="preserve">individually </w:t>
      </w:r>
      <w:r w:rsidR="003C7383" w:rsidRPr="000834B8">
        <w:rPr>
          <w:color w:val="FF0000"/>
          <w:sz w:val="22"/>
          <w:szCs w:val="22"/>
        </w:rPr>
        <w:t>explore each assumption that Elliott’s theory is built on</w:t>
      </w:r>
      <w:r w:rsidR="005B21D4" w:rsidRPr="000834B8">
        <w:rPr>
          <w:color w:val="FF0000"/>
          <w:sz w:val="22"/>
          <w:szCs w:val="22"/>
        </w:rPr>
        <w:t>,</w:t>
      </w:r>
      <w:r w:rsidR="003C7383" w:rsidRPr="000834B8">
        <w:rPr>
          <w:color w:val="FF0000"/>
          <w:sz w:val="22"/>
          <w:szCs w:val="22"/>
        </w:rPr>
        <w:t xml:space="preserve"> </w:t>
      </w:r>
      <w:r w:rsidR="00DB45A4" w:rsidRPr="000834B8">
        <w:rPr>
          <w:color w:val="FF0000"/>
          <w:sz w:val="22"/>
          <w:szCs w:val="22"/>
        </w:rPr>
        <w:t xml:space="preserve">allowing us to probe its validity for hybrid perovskite semiconductors. </w:t>
      </w:r>
      <w:r w:rsidR="00BB7BA0" w:rsidRPr="000834B8">
        <w:rPr>
          <w:color w:val="FF0000"/>
          <w:sz w:val="22"/>
          <w:szCs w:val="22"/>
        </w:rPr>
        <w:t>[</w:t>
      </w:r>
      <w:r w:rsidR="00BB7BA0" w:rsidRPr="000834B8">
        <w:rPr>
          <w:i/>
          <w:color w:val="FF0000"/>
          <w:sz w:val="22"/>
          <w:szCs w:val="22"/>
        </w:rPr>
        <w:t>Overall, our analysis</w:t>
      </w:r>
      <w:r w:rsidR="00BB7BA0" w:rsidRPr="000834B8">
        <w:rPr>
          <w:color w:val="FF0000"/>
          <w:sz w:val="22"/>
          <w:szCs w:val="22"/>
        </w:rPr>
        <w:t xml:space="preserve"> …]</w:t>
      </w:r>
      <w:r w:rsidRPr="000834B8">
        <w:rPr>
          <w:color w:val="FF0000"/>
          <w:sz w:val="22"/>
          <w:szCs w:val="22"/>
        </w:rPr>
        <w:t>”</w:t>
      </w:r>
    </w:p>
    <w:p w14:paraId="372C0733" w14:textId="77777777" w:rsidR="00002221" w:rsidRPr="000834B8" w:rsidRDefault="00002221" w:rsidP="00002221">
      <w:pPr>
        <w:rPr>
          <w:color w:val="008000"/>
          <w:sz w:val="22"/>
          <w:szCs w:val="22"/>
        </w:rPr>
      </w:pPr>
    </w:p>
    <w:p w14:paraId="7DB92E2F" w14:textId="06FF1F4D" w:rsidR="00DF7617" w:rsidRPr="000834B8" w:rsidRDefault="002063E4" w:rsidP="00002221">
      <w:pPr>
        <w:rPr>
          <w:sz w:val="22"/>
          <w:szCs w:val="22"/>
        </w:rPr>
      </w:pPr>
      <w:r w:rsidRPr="000834B8">
        <w:rPr>
          <w:sz w:val="22"/>
          <w:szCs w:val="22"/>
        </w:rPr>
        <w:t xml:space="preserve">To comment on the reasons for </w:t>
      </w:r>
      <w:r w:rsidR="00BD0111" w:rsidRPr="000834B8">
        <w:rPr>
          <w:sz w:val="22"/>
          <w:szCs w:val="22"/>
        </w:rPr>
        <w:t xml:space="preserve">the </w:t>
      </w:r>
      <w:r w:rsidRPr="000834B8">
        <w:rPr>
          <w:sz w:val="22"/>
          <w:szCs w:val="22"/>
        </w:rPr>
        <w:t xml:space="preserve">discrepancies between </w:t>
      </w:r>
      <w:r w:rsidR="00AC496A" w:rsidRPr="000834B8">
        <w:rPr>
          <w:sz w:val="22"/>
          <w:szCs w:val="22"/>
        </w:rPr>
        <w:t xml:space="preserve">the experimental and calculated absorption spectra we note that the main purpose of </w:t>
      </w:r>
      <w:r w:rsidR="001A306E" w:rsidRPr="000834B8">
        <w:rPr>
          <w:sz w:val="22"/>
          <w:szCs w:val="22"/>
        </w:rPr>
        <w:t>F</w:t>
      </w:r>
      <w:r w:rsidR="00481DAB" w:rsidRPr="000834B8">
        <w:rPr>
          <w:sz w:val="22"/>
          <w:szCs w:val="22"/>
        </w:rPr>
        <w:t xml:space="preserve">igure </w:t>
      </w:r>
      <w:r w:rsidR="009A3878" w:rsidRPr="000834B8">
        <w:rPr>
          <w:sz w:val="22"/>
          <w:szCs w:val="22"/>
        </w:rPr>
        <w:t>2d</w:t>
      </w:r>
      <w:r w:rsidR="001A306E" w:rsidRPr="000834B8">
        <w:rPr>
          <w:sz w:val="22"/>
          <w:szCs w:val="22"/>
        </w:rPr>
        <w:t xml:space="preserve"> </w:t>
      </w:r>
      <w:r w:rsidR="00DF7617" w:rsidRPr="000834B8">
        <w:rPr>
          <w:sz w:val="22"/>
          <w:szCs w:val="22"/>
        </w:rPr>
        <w:t>is</w:t>
      </w:r>
      <w:r w:rsidR="00AC496A" w:rsidRPr="000834B8">
        <w:rPr>
          <w:sz w:val="22"/>
          <w:szCs w:val="22"/>
        </w:rPr>
        <w:t xml:space="preserve"> to allow the reader to examine </w:t>
      </w:r>
      <w:r w:rsidR="00481DAB" w:rsidRPr="000834B8">
        <w:rPr>
          <w:sz w:val="22"/>
          <w:szCs w:val="22"/>
        </w:rPr>
        <w:t>the differences between DFT and the GW method</w:t>
      </w:r>
      <w:r w:rsidR="000B6616" w:rsidRPr="000834B8">
        <w:rPr>
          <w:sz w:val="22"/>
          <w:szCs w:val="22"/>
        </w:rPr>
        <w:t xml:space="preserve"> and show the scope of the modeling used</w:t>
      </w:r>
      <w:r w:rsidR="00DF7617" w:rsidRPr="000834B8">
        <w:rPr>
          <w:sz w:val="22"/>
          <w:szCs w:val="22"/>
        </w:rPr>
        <w:t xml:space="preserve"> (experimental data is already </w:t>
      </w:r>
      <w:r w:rsidR="00AC496A" w:rsidRPr="000834B8">
        <w:rPr>
          <w:sz w:val="22"/>
          <w:szCs w:val="22"/>
        </w:rPr>
        <w:t>shown in Fig 1b)</w:t>
      </w:r>
      <w:r w:rsidR="00481DAB" w:rsidRPr="000834B8">
        <w:rPr>
          <w:sz w:val="22"/>
          <w:szCs w:val="22"/>
        </w:rPr>
        <w:t>.</w:t>
      </w:r>
      <w:r w:rsidR="001450C8" w:rsidRPr="000834B8">
        <w:rPr>
          <w:sz w:val="22"/>
          <w:szCs w:val="22"/>
        </w:rPr>
        <w:t xml:space="preserve">  The GW and DFT based absorption spectra are calculated using the independent particle approximation.  At this level of </w:t>
      </w:r>
      <w:proofErr w:type="gramStart"/>
      <w:r w:rsidR="001450C8" w:rsidRPr="000834B8">
        <w:rPr>
          <w:sz w:val="22"/>
          <w:szCs w:val="22"/>
        </w:rPr>
        <w:t>approximation</w:t>
      </w:r>
      <w:proofErr w:type="gramEnd"/>
      <w:r w:rsidR="001450C8" w:rsidRPr="000834B8">
        <w:rPr>
          <w:sz w:val="22"/>
          <w:szCs w:val="22"/>
        </w:rPr>
        <w:t xml:space="preserve"> the optical spectra are expected to be within a factor of 2 or 3 of the experimental spectra.  There are two main reasons for the discrepancy between the calculated and experimental spectra</w:t>
      </w:r>
      <w:r w:rsidR="00DF7617" w:rsidRPr="000834B8">
        <w:rPr>
          <w:sz w:val="22"/>
          <w:szCs w:val="22"/>
        </w:rPr>
        <w:t>, on which we comment here and have now added additional material to the main article and Supplementary Information</w:t>
      </w:r>
      <w:r w:rsidR="001450C8" w:rsidRPr="000834B8">
        <w:rPr>
          <w:sz w:val="22"/>
          <w:szCs w:val="22"/>
        </w:rPr>
        <w:t xml:space="preserve">.  </w:t>
      </w:r>
    </w:p>
    <w:p w14:paraId="68679EE1" w14:textId="34D815F7" w:rsidR="00B2395D" w:rsidRPr="000834B8" w:rsidRDefault="001450C8" w:rsidP="00002221">
      <w:pPr>
        <w:rPr>
          <w:sz w:val="22"/>
          <w:szCs w:val="22"/>
        </w:rPr>
      </w:pPr>
      <w:r w:rsidRPr="000834B8">
        <w:rPr>
          <w:sz w:val="22"/>
          <w:szCs w:val="22"/>
        </w:rPr>
        <w:t xml:space="preserve">Firstly, electron-hole interactions are not taken into account </w:t>
      </w:r>
      <w:r w:rsidR="00F075F7" w:rsidRPr="000834B8">
        <w:rPr>
          <w:sz w:val="22"/>
          <w:szCs w:val="22"/>
        </w:rPr>
        <w:t>owing to</w:t>
      </w:r>
      <w:r w:rsidRPr="000834B8">
        <w:rPr>
          <w:sz w:val="22"/>
          <w:szCs w:val="22"/>
        </w:rPr>
        <w:t xml:space="preserve"> the calculations </w:t>
      </w:r>
      <w:r w:rsidR="00F075F7" w:rsidRPr="000834B8">
        <w:rPr>
          <w:sz w:val="22"/>
          <w:szCs w:val="22"/>
        </w:rPr>
        <w:t>being</w:t>
      </w:r>
      <w:r w:rsidRPr="000834B8">
        <w:rPr>
          <w:sz w:val="22"/>
          <w:szCs w:val="22"/>
        </w:rPr>
        <w:t xml:space="preserve"> currently computationally intractable </w:t>
      </w:r>
      <w:r w:rsidR="00F075F7" w:rsidRPr="000834B8">
        <w:rPr>
          <w:sz w:val="22"/>
          <w:szCs w:val="22"/>
        </w:rPr>
        <w:t>for MAPbI</w:t>
      </w:r>
      <w:r w:rsidR="00F075F7" w:rsidRPr="000834B8">
        <w:rPr>
          <w:sz w:val="22"/>
          <w:szCs w:val="22"/>
          <w:vertAlign w:val="subscript"/>
        </w:rPr>
        <w:t>3</w:t>
      </w:r>
      <w:r w:rsidR="00F075F7" w:rsidRPr="000834B8">
        <w:rPr>
          <w:sz w:val="22"/>
          <w:szCs w:val="22"/>
        </w:rPr>
        <w:t>.</w:t>
      </w:r>
      <w:r w:rsidR="00D2072E" w:rsidRPr="000834B8">
        <w:rPr>
          <w:sz w:val="22"/>
          <w:szCs w:val="22"/>
        </w:rPr>
        <w:t xml:space="preserve">  </w:t>
      </w:r>
      <w:r w:rsidR="008529CA" w:rsidRPr="000834B8">
        <w:rPr>
          <w:sz w:val="22"/>
          <w:szCs w:val="22"/>
        </w:rPr>
        <w:t xml:space="preserve">We had </w:t>
      </w:r>
      <w:r w:rsidR="00DF7617" w:rsidRPr="000834B8">
        <w:rPr>
          <w:sz w:val="22"/>
          <w:szCs w:val="22"/>
        </w:rPr>
        <w:t xml:space="preserve">already </w:t>
      </w:r>
      <w:r w:rsidR="008529CA" w:rsidRPr="000834B8">
        <w:rPr>
          <w:sz w:val="22"/>
          <w:szCs w:val="22"/>
        </w:rPr>
        <w:t xml:space="preserve">included </w:t>
      </w:r>
      <w:r w:rsidR="00DF7617" w:rsidRPr="000834B8">
        <w:rPr>
          <w:sz w:val="22"/>
          <w:szCs w:val="22"/>
        </w:rPr>
        <w:t xml:space="preserve">a comment to highlight </w:t>
      </w:r>
      <w:r w:rsidR="008529CA" w:rsidRPr="000834B8">
        <w:rPr>
          <w:sz w:val="22"/>
          <w:szCs w:val="22"/>
        </w:rPr>
        <w:t>this in the captions for Figure 2d</w:t>
      </w:r>
      <w:r w:rsidR="00DF7617" w:rsidRPr="000834B8">
        <w:rPr>
          <w:sz w:val="22"/>
          <w:szCs w:val="22"/>
        </w:rPr>
        <w:t xml:space="preserve">, but </w:t>
      </w:r>
      <w:r w:rsidR="008529CA" w:rsidRPr="000834B8">
        <w:rPr>
          <w:sz w:val="22"/>
          <w:szCs w:val="22"/>
        </w:rPr>
        <w:t xml:space="preserve">we </w:t>
      </w:r>
      <w:r w:rsidR="00D2072E" w:rsidRPr="000834B8">
        <w:rPr>
          <w:sz w:val="22"/>
          <w:szCs w:val="22"/>
        </w:rPr>
        <w:t xml:space="preserve">have </w:t>
      </w:r>
      <w:r w:rsidR="008529CA" w:rsidRPr="000834B8">
        <w:rPr>
          <w:sz w:val="22"/>
          <w:szCs w:val="22"/>
        </w:rPr>
        <w:t xml:space="preserve">now </w:t>
      </w:r>
      <w:r w:rsidR="00DF7617" w:rsidRPr="000834B8">
        <w:rPr>
          <w:sz w:val="22"/>
          <w:szCs w:val="22"/>
        </w:rPr>
        <w:t>also pointed this out in the</w:t>
      </w:r>
      <w:r w:rsidR="00D2072E" w:rsidRPr="000834B8">
        <w:rPr>
          <w:sz w:val="22"/>
          <w:szCs w:val="22"/>
        </w:rPr>
        <w:t xml:space="preserve"> main text for clarification</w:t>
      </w:r>
      <w:r w:rsidR="008529CA" w:rsidRPr="000834B8">
        <w:rPr>
          <w:sz w:val="22"/>
          <w:szCs w:val="22"/>
        </w:rPr>
        <w:t>.</w:t>
      </w:r>
    </w:p>
    <w:p w14:paraId="44A5201D" w14:textId="77777777" w:rsidR="00B2395D" w:rsidRPr="000834B8" w:rsidRDefault="00B2395D" w:rsidP="00002221">
      <w:pPr>
        <w:rPr>
          <w:sz w:val="22"/>
          <w:szCs w:val="22"/>
        </w:rPr>
      </w:pPr>
    </w:p>
    <w:p w14:paraId="32C6CCDE" w14:textId="77777777" w:rsidR="00B2395D" w:rsidRPr="000834B8" w:rsidRDefault="00B2395D" w:rsidP="00B2395D">
      <w:pPr>
        <w:rPr>
          <w:color w:val="FF0000"/>
          <w:sz w:val="22"/>
          <w:szCs w:val="22"/>
        </w:rPr>
      </w:pPr>
      <w:r w:rsidRPr="000834B8">
        <w:rPr>
          <w:color w:val="FF0000"/>
          <w:sz w:val="22"/>
          <w:szCs w:val="22"/>
        </w:rPr>
        <w:t>Changes made:</w:t>
      </w:r>
    </w:p>
    <w:p w14:paraId="41FFDB3C" w14:textId="64775F60" w:rsidR="00DF7617" w:rsidRPr="000834B8" w:rsidRDefault="00DF7617" w:rsidP="00B2395D">
      <w:pPr>
        <w:rPr>
          <w:color w:val="FF0000"/>
          <w:sz w:val="22"/>
          <w:szCs w:val="22"/>
        </w:rPr>
      </w:pPr>
      <w:r w:rsidRPr="000834B8">
        <w:rPr>
          <w:color w:val="FF0000"/>
          <w:sz w:val="22"/>
          <w:szCs w:val="22"/>
        </w:rPr>
        <w:t>On page 9, changed “Comparison with experimental data (Figure 1b) shows that…” to</w:t>
      </w:r>
    </w:p>
    <w:p w14:paraId="0F8A6451" w14:textId="24AABF9E" w:rsidR="00DF7617" w:rsidRPr="000834B8" w:rsidRDefault="00DF7617" w:rsidP="00B2395D">
      <w:pPr>
        <w:rPr>
          <w:color w:val="FF0000"/>
          <w:sz w:val="22"/>
          <w:szCs w:val="22"/>
        </w:rPr>
      </w:pPr>
      <w:r w:rsidRPr="000834B8">
        <w:rPr>
          <w:color w:val="FF0000"/>
          <w:sz w:val="22"/>
          <w:szCs w:val="22"/>
        </w:rPr>
        <w:t>“Comparison with experimental data (</w:t>
      </w:r>
      <w:r w:rsidRPr="000834B8">
        <w:rPr>
          <w:color w:val="FF0000"/>
          <w:sz w:val="22"/>
          <w:szCs w:val="22"/>
          <w:lang w:val="el-GR"/>
        </w:rPr>
        <w:t>α</w:t>
      </w:r>
      <w:r w:rsidRPr="000834B8">
        <w:rPr>
          <w:color w:val="FF0000"/>
          <w:sz w:val="22"/>
          <w:szCs w:val="22"/>
          <w:vertAlign w:val="subscript"/>
        </w:rPr>
        <w:t>free</w:t>
      </w:r>
      <w:r w:rsidRPr="000834B8">
        <w:rPr>
          <w:color w:val="FF0000"/>
          <w:sz w:val="22"/>
          <w:szCs w:val="22"/>
        </w:rPr>
        <w:t>, Figure 1b) shows that…”</w:t>
      </w:r>
    </w:p>
    <w:p w14:paraId="0DCDC0C5" w14:textId="3CAA8949" w:rsidR="00B2395D" w:rsidRPr="000834B8" w:rsidRDefault="00B2395D" w:rsidP="00002221">
      <w:pPr>
        <w:rPr>
          <w:sz w:val="22"/>
          <w:szCs w:val="22"/>
        </w:rPr>
      </w:pPr>
    </w:p>
    <w:p w14:paraId="2352A992" w14:textId="65E5C27F" w:rsidR="007909DD" w:rsidRPr="000834B8" w:rsidRDefault="00D2072E" w:rsidP="00002221">
      <w:pPr>
        <w:rPr>
          <w:sz w:val="22"/>
          <w:szCs w:val="22"/>
        </w:rPr>
      </w:pPr>
      <w:r w:rsidRPr="000834B8">
        <w:rPr>
          <w:sz w:val="22"/>
          <w:szCs w:val="22"/>
        </w:rPr>
        <w:t xml:space="preserve">Secondly, calculating the dipole matrix elements directly from GW requires a self-consistent calculation of the quasi-particle wave functions, which is computationally prohibitive </w:t>
      </w:r>
      <w:r w:rsidR="00BD0111" w:rsidRPr="000834B8">
        <w:rPr>
          <w:sz w:val="22"/>
          <w:szCs w:val="22"/>
        </w:rPr>
        <w:t xml:space="preserve">at the moment </w:t>
      </w:r>
      <w:r w:rsidRPr="000834B8">
        <w:rPr>
          <w:sz w:val="22"/>
          <w:szCs w:val="22"/>
        </w:rPr>
        <w:t>for a system of the size of MAPbI</w:t>
      </w:r>
      <w:r w:rsidRPr="000834B8">
        <w:rPr>
          <w:sz w:val="22"/>
          <w:szCs w:val="22"/>
          <w:vertAlign w:val="subscript"/>
        </w:rPr>
        <w:t>3</w:t>
      </w:r>
      <w:r w:rsidRPr="000834B8">
        <w:rPr>
          <w:sz w:val="22"/>
          <w:szCs w:val="22"/>
        </w:rPr>
        <w:t>.  To overcome this bottleneck</w:t>
      </w:r>
      <w:r w:rsidR="0029286C" w:rsidRPr="000834B8">
        <w:rPr>
          <w:sz w:val="22"/>
          <w:szCs w:val="22"/>
        </w:rPr>
        <w:t>,</w:t>
      </w:r>
      <w:r w:rsidRPr="000834B8">
        <w:rPr>
          <w:sz w:val="22"/>
          <w:szCs w:val="22"/>
        </w:rPr>
        <w:t xml:space="preserve"> w</w:t>
      </w:r>
      <w:r w:rsidR="001A4AF5" w:rsidRPr="000834B8">
        <w:rPr>
          <w:sz w:val="22"/>
          <w:szCs w:val="22"/>
        </w:rPr>
        <w:t xml:space="preserve">e </w:t>
      </w:r>
      <w:r w:rsidR="00680632" w:rsidRPr="000834B8">
        <w:rPr>
          <w:sz w:val="22"/>
          <w:szCs w:val="22"/>
        </w:rPr>
        <w:t xml:space="preserve">have </w:t>
      </w:r>
      <w:r w:rsidR="001A4AF5" w:rsidRPr="000834B8">
        <w:rPr>
          <w:sz w:val="22"/>
          <w:szCs w:val="22"/>
        </w:rPr>
        <w:t>take</w:t>
      </w:r>
      <w:r w:rsidR="00680632" w:rsidRPr="000834B8">
        <w:rPr>
          <w:sz w:val="22"/>
          <w:szCs w:val="22"/>
        </w:rPr>
        <w:t>n</w:t>
      </w:r>
      <w:r w:rsidR="001A4AF5" w:rsidRPr="000834B8">
        <w:rPr>
          <w:sz w:val="22"/>
          <w:szCs w:val="22"/>
        </w:rPr>
        <w:t xml:space="preserve"> advantage of the ob</w:t>
      </w:r>
      <w:r w:rsidRPr="000834B8">
        <w:rPr>
          <w:sz w:val="22"/>
          <w:szCs w:val="22"/>
        </w:rPr>
        <w:t xml:space="preserve">servation </w:t>
      </w:r>
      <w:r w:rsidR="002F5E20" w:rsidRPr="000834B8">
        <w:rPr>
          <w:sz w:val="22"/>
          <w:szCs w:val="22"/>
        </w:rPr>
        <w:t>that quasi</w:t>
      </w:r>
      <w:r w:rsidR="00AB02EE" w:rsidRPr="000834B8">
        <w:rPr>
          <w:sz w:val="22"/>
          <w:szCs w:val="22"/>
        </w:rPr>
        <w:t>-</w:t>
      </w:r>
      <w:r w:rsidR="002F5E20" w:rsidRPr="000834B8">
        <w:rPr>
          <w:sz w:val="22"/>
          <w:szCs w:val="22"/>
        </w:rPr>
        <w:t xml:space="preserve">particle and DFT wave </w:t>
      </w:r>
      <w:r w:rsidRPr="000834B8">
        <w:rPr>
          <w:sz w:val="22"/>
          <w:szCs w:val="22"/>
        </w:rPr>
        <w:t>functions are not significantly different (as discussed in Ref. 19 of the Supplementary Information), and calculate the dipole matrix elements only at the DFT level.</w:t>
      </w:r>
      <w:r w:rsidR="00332000" w:rsidRPr="000834B8">
        <w:rPr>
          <w:sz w:val="22"/>
          <w:szCs w:val="22"/>
        </w:rPr>
        <w:t xml:space="preserve">  </w:t>
      </w:r>
      <w:r w:rsidR="00E24829" w:rsidRPr="000834B8">
        <w:rPr>
          <w:sz w:val="22"/>
          <w:szCs w:val="22"/>
        </w:rPr>
        <w:t xml:space="preserve">Currently displayed in Figure 2d, is the GW absorption coefficient which uses the DFT dipole matrix elements rescaled by the difference in </w:t>
      </w:r>
      <w:proofErr w:type="spellStart"/>
      <w:r w:rsidR="00E24829" w:rsidRPr="000834B8">
        <w:rPr>
          <w:sz w:val="22"/>
          <w:szCs w:val="22"/>
        </w:rPr>
        <w:t>eigen</w:t>
      </w:r>
      <w:proofErr w:type="spellEnd"/>
      <w:r w:rsidR="00E24829" w:rsidRPr="000834B8">
        <w:rPr>
          <w:sz w:val="22"/>
          <w:szCs w:val="22"/>
        </w:rPr>
        <w:t>-energies between conduction and valence bands (</w:t>
      </w:r>
      <w:r w:rsidR="00B7116B" w:rsidRPr="000834B8">
        <w:rPr>
          <w:sz w:val="22"/>
          <w:szCs w:val="22"/>
        </w:rPr>
        <w:t xml:space="preserve">see </w:t>
      </w:r>
      <w:r w:rsidR="00E24829" w:rsidRPr="000834B8">
        <w:rPr>
          <w:sz w:val="22"/>
          <w:szCs w:val="22"/>
        </w:rPr>
        <w:t xml:space="preserve">Equation 3 of the Supplementary Information).   In comparison with the experimental absorption coefficient, the scaled GW calculation overestimates the absorption coefficient.  </w:t>
      </w:r>
      <w:r w:rsidR="00A41636" w:rsidRPr="000834B8">
        <w:rPr>
          <w:sz w:val="22"/>
          <w:szCs w:val="22"/>
        </w:rPr>
        <w:t xml:space="preserve">The correct value of </w:t>
      </w:r>
      <w:r w:rsidR="00BD0111" w:rsidRPr="000834B8">
        <w:rPr>
          <w:sz w:val="22"/>
          <w:szCs w:val="22"/>
        </w:rPr>
        <w:t xml:space="preserve">the </w:t>
      </w:r>
      <w:r w:rsidR="00A41636" w:rsidRPr="000834B8">
        <w:rPr>
          <w:sz w:val="22"/>
          <w:szCs w:val="22"/>
        </w:rPr>
        <w:t xml:space="preserve">absorption coefficient for screened electrons and holes is most likely bracketed between the calculated absorption coefficient using the scaled DFT dipole matrix and the </w:t>
      </w:r>
      <w:r w:rsidR="00B2395D" w:rsidRPr="000834B8">
        <w:rPr>
          <w:sz w:val="22"/>
          <w:szCs w:val="22"/>
        </w:rPr>
        <w:t xml:space="preserve">original DFT </w:t>
      </w:r>
      <w:r w:rsidR="00A41636" w:rsidRPr="000834B8">
        <w:rPr>
          <w:sz w:val="22"/>
          <w:szCs w:val="22"/>
        </w:rPr>
        <w:t>dipole matrix.</w:t>
      </w:r>
      <w:r w:rsidR="00B2395D" w:rsidRPr="000834B8">
        <w:rPr>
          <w:sz w:val="22"/>
          <w:szCs w:val="22"/>
        </w:rPr>
        <w:t xml:space="preserve">  </w:t>
      </w:r>
      <w:r w:rsidR="00DC67A9" w:rsidRPr="000834B8">
        <w:rPr>
          <w:sz w:val="22"/>
          <w:szCs w:val="22"/>
        </w:rPr>
        <w:t xml:space="preserve">To </w:t>
      </w:r>
      <w:r w:rsidR="00C2676A" w:rsidRPr="000834B8">
        <w:rPr>
          <w:sz w:val="22"/>
          <w:szCs w:val="22"/>
        </w:rPr>
        <w:t xml:space="preserve">clarify </w:t>
      </w:r>
      <w:r w:rsidR="00DC67A9" w:rsidRPr="000834B8">
        <w:rPr>
          <w:sz w:val="22"/>
          <w:szCs w:val="22"/>
        </w:rPr>
        <w:t xml:space="preserve">this </w:t>
      </w:r>
      <w:proofErr w:type="gramStart"/>
      <w:r w:rsidR="00DC67A9" w:rsidRPr="000834B8">
        <w:rPr>
          <w:sz w:val="22"/>
          <w:szCs w:val="22"/>
        </w:rPr>
        <w:t>issue</w:t>
      </w:r>
      <w:proofErr w:type="gramEnd"/>
      <w:r w:rsidR="00DC67A9" w:rsidRPr="000834B8">
        <w:rPr>
          <w:sz w:val="22"/>
          <w:szCs w:val="22"/>
        </w:rPr>
        <w:t xml:space="preserve"> w</w:t>
      </w:r>
      <w:r w:rsidR="00B2395D" w:rsidRPr="000834B8">
        <w:rPr>
          <w:sz w:val="22"/>
          <w:szCs w:val="22"/>
        </w:rPr>
        <w:t>e have</w:t>
      </w:r>
      <w:r w:rsidR="00DC67A9" w:rsidRPr="000834B8">
        <w:rPr>
          <w:sz w:val="22"/>
          <w:szCs w:val="22"/>
        </w:rPr>
        <w:t>:</w:t>
      </w:r>
      <w:r w:rsidR="00B2395D" w:rsidRPr="000834B8">
        <w:rPr>
          <w:sz w:val="22"/>
          <w:szCs w:val="22"/>
        </w:rPr>
        <w:t xml:space="preserve"> </w:t>
      </w:r>
      <w:r w:rsidR="00DC67A9" w:rsidRPr="000834B8">
        <w:rPr>
          <w:sz w:val="22"/>
          <w:szCs w:val="22"/>
        </w:rPr>
        <w:t>(</w:t>
      </w:r>
      <w:proofErr w:type="spellStart"/>
      <w:r w:rsidR="00DC67A9" w:rsidRPr="000834B8">
        <w:rPr>
          <w:sz w:val="22"/>
          <w:szCs w:val="22"/>
        </w:rPr>
        <w:t>i</w:t>
      </w:r>
      <w:proofErr w:type="spellEnd"/>
      <w:r w:rsidR="00DC67A9" w:rsidRPr="000834B8">
        <w:rPr>
          <w:sz w:val="22"/>
          <w:szCs w:val="22"/>
        </w:rPr>
        <w:t>) updated</w:t>
      </w:r>
      <w:r w:rsidR="00B2395D" w:rsidRPr="000834B8">
        <w:rPr>
          <w:sz w:val="22"/>
          <w:szCs w:val="22"/>
        </w:rPr>
        <w:t xml:space="preserve"> Figure 2d to show the absorption coefficient calculated by DFT, and GW for the cases of scaled and </w:t>
      </w:r>
      <w:r w:rsidR="00C2676A" w:rsidRPr="000834B8">
        <w:rPr>
          <w:sz w:val="22"/>
          <w:szCs w:val="22"/>
        </w:rPr>
        <w:t>un</w:t>
      </w:r>
      <w:r w:rsidR="00B2395D" w:rsidRPr="000834B8">
        <w:rPr>
          <w:sz w:val="22"/>
          <w:szCs w:val="22"/>
        </w:rPr>
        <w:t xml:space="preserve">scaled dipole matrix elements; (ii) extended the discussion in the </w:t>
      </w:r>
      <w:r w:rsidR="00DF0B45" w:rsidRPr="000834B8">
        <w:rPr>
          <w:sz w:val="22"/>
          <w:szCs w:val="22"/>
        </w:rPr>
        <w:t>Supplementary</w:t>
      </w:r>
      <w:r w:rsidR="00B2395D" w:rsidRPr="000834B8">
        <w:rPr>
          <w:sz w:val="22"/>
          <w:szCs w:val="22"/>
        </w:rPr>
        <w:t xml:space="preserve"> Information making all calculation </w:t>
      </w:r>
      <w:r w:rsidR="0029286C" w:rsidRPr="000834B8">
        <w:rPr>
          <w:sz w:val="22"/>
          <w:szCs w:val="22"/>
        </w:rPr>
        <w:t xml:space="preserve">very </w:t>
      </w:r>
      <w:r w:rsidR="00B2395D" w:rsidRPr="000834B8">
        <w:rPr>
          <w:sz w:val="22"/>
          <w:szCs w:val="22"/>
        </w:rPr>
        <w:t xml:space="preserve">explicit; (iii) added a </w:t>
      </w:r>
      <w:r w:rsidR="003C5178" w:rsidRPr="000834B8">
        <w:rPr>
          <w:sz w:val="22"/>
          <w:szCs w:val="22"/>
        </w:rPr>
        <w:t>paragraph</w:t>
      </w:r>
      <w:r w:rsidR="00DC67A9" w:rsidRPr="000834B8">
        <w:rPr>
          <w:sz w:val="22"/>
          <w:szCs w:val="22"/>
        </w:rPr>
        <w:t xml:space="preserve"> in the main text detailing the variants of the absorption coefficient</w:t>
      </w:r>
      <w:r w:rsidR="003C5178" w:rsidRPr="000834B8">
        <w:rPr>
          <w:sz w:val="22"/>
          <w:szCs w:val="22"/>
        </w:rPr>
        <w:t xml:space="preserve"> and amended the relevant passages</w:t>
      </w:r>
      <w:r w:rsidR="00DC67A9" w:rsidRPr="000834B8">
        <w:rPr>
          <w:sz w:val="22"/>
          <w:szCs w:val="22"/>
        </w:rPr>
        <w:t>.</w:t>
      </w:r>
      <w:r w:rsidR="00B2395D" w:rsidRPr="000834B8">
        <w:rPr>
          <w:sz w:val="22"/>
          <w:szCs w:val="22"/>
        </w:rPr>
        <w:t xml:space="preserve"> </w:t>
      </w:r>
      <w:r w:rsidR="00AF7FE6" w:rsidRPr="000834B8">
        <w:rPr>
          <w:sz w:val="22"/>
          <w:szCs w:val="22"/>
        </w:rPr>
        <w:t xml:space="preserve">  These changes are detailed below:</w:t>
      </w:r>
    </w:p>
    <w:p w14:paraId="241375FF" w14:textId="77777777" w:rsidR="003C5178" w:rsidRPr="000834B8" w:rsidRDefault="003C5178" w:rsidP="00002221">
      <w:pPr>
        <w:rPr>
          <w:sz w:val="22"/>
          <w:szCs w:val="22"/>
        </w:rPr>
      </w:pPr>
    </w:p>
    <w:p w14:paraId="0B7D54F6" w14:textId="77777777" w:rsidR="003C5178" w:rsidRPr="000834B8" w:rsidRDefault="003C5178" w:rsidP="003C5178">
      <w:pPr>
        <w:rPr>
          <w:color w:val="FF0000"/>
          <w:sz w:val="22"/>
          <w:szCs w:val="22"/>
        </w:rPr>
      </w:pPr>
      <w:r w:rsidRPr="000834B8">
        <w:rPr>
          <w:color w:val="FF0000"/>
          <w:sz w:val="22"/>
          <w:szCs w:val="22"/>
        </w:rPr>
        <w:t>Changes made:</w:t>
      </w:r>
    </w:p>
    <w:p w14:paraId="62312B78" w14:textId="39E86F2D" w:rsidR="003C5178" w:rsidRPr="000834B8" w:rsidRDefault="003C5178" w:rsidP="003C5178">
      <w:pPr>
        <w:rPr>
          <w:color w:val="FF0000"/>
          <w:sz w:val="22"/>
          <w:szCs w:val="22"/>
        </w:rPr>
      </w:pPr>
      <w:r w:rsidRPr="000834B8">
        <w:rPr>
          <w:color w:val="FF0000"/>
          <w:sz w:val="22"/>
          <w:szCs w:val="22"/>
        </w:rPr>
        <w:t>On page 22</w:t>
      </w:r>
    </w:p>
    <w:p w14:paraId="135D8D16" w14:textId="1ED66988" w:rsidR="003C5178" w:rsidRPr="000834B8" w:rsidRDefault="00B76D14" w:rsidP="003C5178">
      <w:pPr>
        <w:rPr>
          <w:color w:val="FF0000"/>
          <w:sz w:val="22"/>
          <w:szCs w:val="22"/>
        </w:rPr>
      </w:pPr>
      <w:r w:rsidRPr="000834B8">
        <w:rPr>
          <w:color w:val="FF0000"/>
          <w:sz w:val="22"/>
          <w:szCs w:val="22"/>
        </w:rPr>
        <w:t>Updated Figure 2d:</w:t>
      </w:r>
    </w:p>
    <w:p w14:paraId="19A28963" w14:textId="77777777" w:rsidR="003C5178" w:rsidRPr="000834B8" w:rsidRDefault="003C5178" w:rsidP="00002221">
      <w:pPr>
        <w:rPr>
          <w:sz w:val="22"/>
          <w:szCs w:val="22"/>
        </w:rPr>
      </w:pPr>
    </w:p>
    <w:p w14:paraId="353FF9D1" w14:textId="4DEDD8D6" w:rsidR="007909DD" w:rsidRPr="000834B8" w:rsidRDefault="001450C8" w:rsidP="007909DD">
      <w:pPr>
        <w:jc w:val="center"/>
        <w:rPr>
          <w:color w:val="008000"/>
          <w:sz w:val="22"/>
          <w:szCs w:val="22"/>
        </w:rPr>
      </w:pPr>
      <w:r w:rsidRPr="000834B8">
        <w:rPr>
          <w:noProof/>
          <w:color w:val="008000"/>
          <w:sz w:val="22"/>
          <w:szCs w:val="22"/>
        </w:rPr>
        <w:lastRenderedPageBreak/>
        <w:drawing>
          <wp:inline distT="0" distB="0" distL="0" distR="0" wp14:anchorId="20472AA7" wp14:editId="38A45D83">
            <wp:extent cx="2243455" cy="2294255"/>
            <wp:effectExtent l="0" t="0" r="0" b="0"/>
            <wp:docPr id="2" name="Picture 2" descr="Crucial:Users:ChrisDavies:Desktop:2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cial:Users:ChrisDavies:Desktop:2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455" cy="2294255"/>
                    </a:xfrm>
                    <a:prstGeom prst="rect">
                      <a:avLst/>
                    </a:prstGeom>
                    <a:noFill/>
                    <a:ln>
                      <a:noFill/>
                    </a:ln>
                  </pic:spPr>
                </pic:pic>
              </a:graphicData>
            </a:graphic>
          </wp:inline>
        </w:drawing>
      </w:r>
    </w:p>
    <w:p w14:paraId="08734D90" w14:textId="68FCCAF0" w:rsidR="00481DAB" w:rsidRPr="000834B8" w:rsidRDefault="00DF64ED" w:rsidP="00002221">
      <w:pPr>
        <w:rPr>
          <w:color w:val="FF0000"/>
          <w:sz w:val="22"/>
          <w:szCs w:val="22"/>
        </w:rPr>
      </w:pPr>
      <w:r w:rsidRPr="000834B8">
        <w:rPr>
          <w:color w:val="FF0000"/>
          <w:sz w:val="22"/>
          <w:szCs w:val="22"/>
        </w:rPr>
        <w:t xml:space="preserve">Caption </w:t>
      </w:r>
      <w:r w:rsidRPr="0040491A">
        <w:rPr>
          <w:color w:val="FF0000"/>
          <w:sz w:val="22"/>
          <w:szCs w:val="22"/>
        </w:rPr>
        <w:t>replaced</w:t>
      </w:r>
      <w:proofErr w:type="gramStart"/>
      <w:r w:rsidRPr="0040491A">
        <w:rPr>
          <w:color w:val="FF0000"/>
          <w:sz w:val="22"/>
          <w:szCs w:val="22"/>
        </w:rPr>
        <w:t xml:space="preserve">:  </w:t>
      </w:r>
      <w:r w:rsidR="00017934" w:rsidRPr="0040491A">
        <w:rPr>
          <w:color w:val="FF0000"/>
          <w:sz w:val="22"/>
          <w:szCs w:val="22"/>
        </w:rPr>
        <w:t>[</w:t>
      </w:r>
      <w:proofErr w:type="gramEnd"/>
      <w:r w:rsidR="0040491A" w:rsidRPr="0040491A">
        <w:rPr>
          <w:color w:val="FF0000"/>
          <w:sz w:val="22"/>
          <w:szCs w:val="22"/>
        </w:rPr>
        <w:t>“</w:t>
      </w:r>
      <w:r w:rsidRPr="0040491A">
        <w:rPr>
          <w:i/>
          <w:color w:val="FF0000"/>
          <w:sz w:val="22"/>
          <w:szCs w:val="22"/>
        </w:rPr>
        <w:t>(d) Absorption</w:t>
      </w:r>
      <w:r w:rsidRPr="000834B8">
        <w:rPr>
          <w:i/>
          <w:color w:val="FF0000"/>
          <w:sz w:val="22"/>
          <w:szCs w:val="22"/>
        </w:rPr>
        <w:t xml:space="preserve"> coefficient spectrum calculated from density functional theory (DFT) calculations (red) and GW calculations (blue), performed within the independent-particle approximation (i.e. without considering electron-hole Coulomb interactions). Absorption coefficients have been scaled along the energy axis to make the onset coincide with the experimental value E</w:t>
      </w:r>
      <w:r w:rsidRPr="000834B8">
        <w:rPr>
          <w:i/>
          <w:color w:val="FF0000"/>
          <w:sz w:val="22"/>
          <w:szCs w:val="22"/>
          <w:vertAlign w:val="subscript"/>
        </w:rPr>
        <w:t>G</w:t>
      </w:r>
      <w:r w:rsidRPr="000834B8">
        <w:rPr>
          <w:i/>
          <w:color w:val="FF0000"/>
          <w:sz w:val="22"/>
          <w:szCs w:val="22"/>
        </w:rPr>
        <w:t>, but not scaled in the magnitude of the coefficient.</w:t>
      </w:r>
      <w:r w:rsidR="00017934" w:rsidRPr="000834B8">
        <w:rPr>
          <w:i/>
          <w:color w:val="FF0000"/>
          <w:sz w:val="22"/>
          <w:szCs w:val="22"/>
        </w:rPr>
        <w:t>”</w:t>
      </w:r>
      <w:r w:rsidR="00017934" w:rsidRPr="000834B8">
        <w:rPr>
          <w:color w:val="FF0000"/>
          <w:sz w:val="22"/>
          <w:szCs w:val="22"/>
        </w:rPr>
        <w:t>]</w:t>
      </w:r>
    </w:p>
    <w:p w14:paraId="607E458D" w14:textId="77777777" w:rsidR="00DF64ED" w:rsidRPr="000834B8" w:rsidRDefault="00DF64ED" w:rsidP="00002221">
      <w:pPr>
        <w:rPr>
          <w:color w:val="FF0000"/>
          <w:sz w:val="22"/>
          <w:szCs w:val="22"/>
        </w:rPr>
      </w:pPr>
    </w:p>
    <w:p w14:paraId="1D799AB2" w14:textId="45024DB3" w:rsidR="00DF64ED" w:rsidRPr="000834B8" w:rsidRDefault="00DF64ED" w:rsidP="00002221">
      <w:pPr>
        <w:rPr>
          <w:color w:val="FF0000"/>
          <w:sz w:val="22"/>
          <w:szCs w:val="22"/>
        </w:rPr>
      </w:pPr>
      <w:r w:rsidRPr="000834B8">
        <w:rPr>
          <w:color w:val="FF0000"/>
          <w:sz w:val="22"/>
          <w:szCs w:val="22"/>
        </w:rPr>
        <w:t>With: “</w:t>
      </w:r>
      <w:r w:rsidR="00BD0111" w:rsidRPr="000834B8">
        <w:rPr>
          <w:color w:val="FF0000"/>
          <w:sz w:val="22"/>
          <w:szCs w:val="22"/>
        </w:rPr>
        <w:t xml:space="preserve">(d) </w:t>
      </w:r>
      <w:r w:rsidR="000D08A9" w:rsidRPr="000834B8">
        <w:rPr>
          <w:color w:val="FF0000"/>
          <w:sz w:val="22"/>
          <w:szCs w:val="22"/>
        </w:rPr>
        <w:t xml:space="preserve">Absorption coefficient </w:t>
      </w:r>
      <w:r w:rsidR="0040491A">
        <w:rPr>
          <w:color w:val="FF0000"/>
          <w:sz w:val="22"/>
          <w:szCs w:val="22"/>
        </w:rPr>
        <w:t xml:space="preserve">spectrum </w:t>
      </w:r>
      <w:r w:rsidR="000D08A9" w:rsidRPr="000834B8">
        <w:rPr>
          <w:color w:val="FF0000"/>
          <w:sz w:val="22"/>
          <w:szCs w:val="22"/>
        </w:rPr>
        <w:t>calculated from density functional theory (DFT) calculations (black), and GW calculations (blue) within the independent-particle approximation (</w:t>
      </w:r>
      <w:r w:rsidR="00880B32" w:rsidRPr="000834B8">
        <w:rPr>
          <w:color w:val="FF0000"/>
          <w:sz w:val="22"/>
          <w:szCs w:val="22"/>
        </w:rPr>
        <w:t>i.e. without considering electron-hole Coulomb interactions</w:t>
      </w:r>
      <w:r w:rsidR="000D08A9" w:rsidRPr="000834B8">
        <w:rPr>
          <w:color w:val="FF0000"/>
          <w:sz w:val="22"/>
          <w:szCs w:val="22"/>
        </w:rPr>
        <w:t>).  We report results using scaled (solid) and un-scaled (dashed) dipole matrix elements,</w:t>
      </w:r>
      <w:r w:rsidR="008C6F4C" w:rsidRPr="000834B8">
        <w:rPr>
          <w:color w:val="FF0000"/>
          <w:sz w:val="22"/>
          <w:szCs w:val="22"/>
        </w:rPr>
        <w:t xml:space="preserve"> as </w:t>
      </w:r>
      <w:r w:rsidR="00C2676A" w:rsidRPr="000834B8">
        <w:rPr>
          <w:color w:val="FF0000"/>
          <w:sz w:val="22"/>
          <w:szCs w:val="22"/>
        </w:rPr>
        <w:t>derived using</w:t>
      </w:r>
      <w:r w:rsidR="008C6F4C" w:rsidRPr="000834B8">
        <w:rPr>
          <w:color w:val="FF0000"/>
          <w:sz w:val="22"/>
          <w:szCs w:val="22"/>
        </w:rPr>
        <w:t xml:space="preserve"> Equations 4 and 5 </w:t>
      </w:r>
      <w:r w:rsidR="00C2676A" w:rsidRPr="000834B8">
        <w:rPr>
          <w:color w:val="FF0000"/>
          <w:sz w:val="22"/>
          <w:szCs w:val="22"/>
        </w:rPr>
        <w:t>given in</w:t>
      </w:r>
      <w:r w:rsidR="008C6F4C" w:rsidRPr="000834B8">
        <w:rPr>
          <w:color w:val="FF0000"/>
          <w:sz w:val="22"/>
          <w:szCs w:val="22"/>
        </w:rPr>
        <w:t xml:space="preserve"> the Supplementary Information.  The light blue region represents the uncertainty in the magnitude of the optical absorption spectrum owing to the approximate calculation of the dipole matrix elements.  The function</w:t>
      </w:r>
      <w:r w:rsidR="004D450E" w:rsidRPr="000834B8">
        <w:rPr>
          <w:color w:val="FF0000"/>
          <w:sz w:val="22"/>
          <w:szCs w:val="22"/>
        </w:rPr>
        <w:t>s</w:t>
      </w:r>
      <w:r w:rsidR="008C6F4C" w:rsidRPr="000834B8">
        <w:rPr>
          <w:color w:val="FF0000"/>
          <w:sz w:val="22"/>
          <w:szCs w:val="22"/>
        </w:rPr>
        <w:t xml:space="preserve"> have been sh</w:t>
      </w:r>
      <w:r w:rsidR="000A71BC" w:rsidRPr="000834B8">
        <w:rPr>
          <w:color w:val="FF0000"/>
          <w:sz w:val="22"/>
          <w:szCs w:val="22"/>
        </w:rPr>
        <w:t xml:space="preserve">ifted along the energy axis to </w:t>
      </w:r>
      <w:r w:rsidR="008C6F4C" w:rsidRPr="000834B8">
        <w:rPr>
          <w:color w:val="FF0000"/>
          <w:sz w:val="22"/>
          <w:szCs w:val="22"/>
        </w:rPr>
        <w:t>make the onset coincide with the experimental value of E</w:t>
      </w:r>
      <w:r w:rsidR="008C6F4C" w:rsidRPr="000834B8">
        <w:rPr>
          <w:color w:val="FF0000"/>
          <w:sz w:val="22"/>
          <w:szCs w:val="22"/>
          <w:vertAlign w:val="subscript"/>
        </w:rPr>
        <w:t>G</w:t>
      </w:r>
      <w:r w:rsidR="000A71BC" w:rsidRPr="000834B8">
        <w:rPr>
          <w:color w:val="FF0000"/>
          <w:sz w:val="22"/>
          <w:szCs w:val="22"/>
        </w:rPr>
        <w:t>.</w:t>
      </w:r>
      <w:r w:rsidRPr="000834B8">
        <w:rPr>
          <w:color w:val="FF0000"/>
          <w:sz w:val="22"/>
          <w:szCs w:val="22"/>
        </w:rPr>
        <w:t>”</w:t>
      </w:r>
    </w:p>
    <w:p w14:paraId="47257ACF" w14:textId="77777777" w:rsidR="005D273B" w:rsidRPr="000834B8" w:rsidRDefault="005D273B" w:rsidP="009A7E21">
      <w:pPr>
        <w:rPr>
          <w:color w:val="FF0000"/>
          <w:sz w:val="22"/>
          <w:szCs w:val="22"/>
        </w:rPr>
      </w:pPr>
    </w:p>
    <w:p w14:paraId="03E52B7F" w14:textId="77777777" w:rsidR="005D273B" w:rsidRPr="000834B8" w:rsidRDefault="005D273B" w:rsidP="009A7E21">
      <w:pPr>
        <w:rPr>
          <w:color w:val="FF0000"/>
          <w:sz w:val="22"/>
          <w:szCs w:val="22"/>
        </w:rPr>
      </w:pPr>
    </w:p>
    <w:p w14:paraId="23B5EAED" w14:textId="77777777" w:rsidR="009A7E21" w:rsidRPr="000834B8" w:rsidRDefault="009A7E21" w:rsidP="009A7E21">
      <w:pPr>
        <w:rPr>
          <w:color w:val="FF0000"/>
          <w:sz w:val="22"/>
          <w:szCs w:val="22"/>
        </w:rPr>
      </w:pPr>
      <w:r w:rsidRPr="000834B8">
        <w:rPr>
          <w:color w:val="FF0000"/>
          <w:sz w:val="22"/>
          <w:szCs w:val="22"/>
        </w:rPr>
        <w:t>Changes made:</w:t>
      </w:r>
    </w:p>
    <w:p w14:paraId="15023F59" w14:textId="636440F3" w:rsidR="009A7E21" w:rsidRPr="000834B8" w:rsidRDefault="009A7E21" w:rsidP="009A7E21">
      <w:pPr>
        <w:rPr>
          <w:color w:val="FF0000"/>
          <w:sz w:val="22"/>
          <w:szCs w:val="22"/>
        </w:rPr>
      </w:pPr>
      <w:r w:rsidRPr="000834B8">
        <w:rPr>
          <w:color w:val="FF0000"/>
          <w:sz w:val="22"/>
          <w:szCs w:val="22"/>
        </w:rPr>
        <w:t>On page 22, caption for Figure 2c:</w:t>
      </w:r>
    </w:p>
    <w:p w14:paraId="1244E41F" w14:textId="3FB9F68B" w:rsidR="009A7E21" w:rsidRPr="000834B8" w:rsidRDefault="009A7E21" w:rsidP="009A7E21">
      <w:pPr>
        <w:rPr>
          <w:color w:val="FF0000"/>
          <w:sz w:val="22"/>
          <w:szCs w:val="22"/>
        </w:rPr>
      </w:pPr>
      <w:r w:rsidRPr="000834B8">
        <w:rPr>
          <w:color w:val="FF0000"/>
          <w:sz w:val="22"/>
          <w:szCs w:val="22"/>
        </w:rPr>
        <w:t>Added after: [</w:t>
      </w:r>
      <w:r w:rsidR="00C2676A" w:rsidRPr="000834B8">
        <w:rPr>
          <w:color w:val="FF0000"/>
          <w:sz w:val="22"/>
          <w:szCs w:val="22"/>
        </w:rPr>
        <w:t>“</w:t>
      </w:r>
      <w:r w:rsidRPr="000834B8">
        <w:rPr>
          <w:i/>
          <w:color w:val="FF0000"/>
          <w:sz w:val="22"/>
          <w:szCs w:val="22"/>
        </w:rPr>
        <w:t xml:space="preserve">… at different </w:t>
      </w:r>
      <w:r w:rsidR="00586293" w:rsidRPr="000834B8">
        <w:rPr>
          <w:i/>
          <w:color w:val="FF0000"/>
          <w:sz w:val="22"/>
          <w:szCs w:val="22"/>
        </w:rPr>
        <w:t>k-points in the Brillouin zone</w:t>
      </w:r>
      <w:r w:rsidR="00C2676A" w:rsidRPr="000834B8">
        <w:rPr>
          <w:i/>
          <w:color w:val="FF0000"/>
          <w:sz w:val="22"/>
          <w:szCs w:val="22"/>
        </w:rPr>
        <w:t>”</w:t>
      </w:r>
      <w:r w:rsidR="00586293" w:rsidRPr="000834B8">
        <w:rPr>
          <w:color w:val="FF0000"/>
          <w:sz w:val="22"/>
          <w:szCs w:val="22"/>
        </w:rPr>
        <w:t>]</w:t>
      </w:r>
      <w:r w:rsidRPr="000834B8">
        <w:rPr>
          <w:color w:val="FF0000"/>
          <w:sz w:val="22"/>
          <w:szCs w:val="22"/>
        </w:rPr>
        <w:t xml:space="preserve">, </w:t>
      </w:r>
      <w:r w:rsidR="00C2676A" w:rsidRPr="000834B8">
        <w:rPr>
          <w:color w:val="FF0000"/>
          <w:sz w:val="22"/>
          <w:szCs w:val="22"/>
        </w:rPr>
        <w:t>“</w:t>
      </w:r>
      <w:r w:rsidRPr="000834B8">
        <w:rPr>
          <w:color w:val="FF0000"/>
          <w:sz w:val="22"/>
          <w:szCs w:val="22"/>
        </w:rPr>
        <w:t>using Equation 3 of the Supplementary Information.</w:t>
      </w:r>
      <w:r w:rsidR="00C2676A" w:rsidRPr="000834B8">
        <w:rPr>
          <w:color w:val="FF0000"/>
          <w:sz w:val="22"/>
          <w:szCs w:val="22"/>
        </w:rPr>
        <w:t>”</w:t>
      </w:r>
      <w:r w:rsidR="0081040B" w:rsidRPr="000834B8">
        <w:rPr>
          <w:color w:val="FF0000"/>
          <w:sz w:val="22"/>
          <w:szCs w:val="22"/>
        </w:rPr>
        <w:t xml:space="preserve"> [</w:t>
      </w:r>
      <w:proofErr w:type="gramStart"/>
      <w:r w:rsidR="0081040B" w:rsidRPr="000834B8">
        <w:rPr>
          <w:strike/>
          <w:color w:val="FF0000"/>
          <w:sz w:val="22"/>
          <w:szCs w:val="22"/>
        </w:rPr>
        <w:t xml:space="preserve">and </w:t>
      </w:r>
      <w:r w:rsidR="0081040B" w:rsidRPr="000834B8">
        <w:rPr>
          <w:color w:val="FF0000"/>
          <w:sz w:val="22"/>
          <w:szCs w:val="22"/>
        </w:rPr>
        <w:t xml:space="preserve"> </w:t>
      </w:r>
      <w:r w:rsidR="0081040B" w:rsidRPr="000834B8">
        <w:rPr>
          <w:i/>
          <w:color w:val="FF0000"/>
          <w:sz w:val="22"/>
          <w:szCs w:val="22"/>
        </w:rPr>
        <w:t>The</w:t>
      </w:r>
      <w:proofErr w:type="gramEnd"/>
      <w:r w:rsidR="0081040B" w:rsidRPr="000834B8">
        <w:rPr>
          <w:i/>
          <w:color w:val="FF0000"/>
          <w:sz w:val="22"/>
          <w:szCs w:val="22"/>
        </w:rPr>
        <w:t xml:space="preserve"> blue lines show …</w:t>
      </w:r>
      <w:r w:rsidR="0081040B" w:rsidRPr="000834B8">
        <w:rPr>
          <w:color w:val="FF0000"/>
          <w:sz w:val="22"/>
          <w:szCs w:val="22"/>
        </w:rPr>
        <w:t>]</w:t>
      </w:r>
    </w:p>
    <w:p w14:paraId="0273C378" w14:textId="77777777" w:rsidR="00586293" w:rsidRPr="000834B8" w:rsidRDefault="00586293" w:rsidP="009A7E21">
      <w:pPr>
        <w:rPr>
          <w:color w:val="FF0000"/>
          <w:sz w:val="22"/>
          <w:szCs w:val="22"/>
        </w:rPr>
      </w:pPr>
    </w:p>
    <w:p w14:paraId="09C267E1" w14:textId="77777777" w:rsidR="005D273B" w:rsidRPr="000834B8" w:rsidRDefault="005D273B" w:rsidP="004D450E">
      <w:pPr>
        <w:rPr>
          <w:color w:val="FF0000"/>
          <w:sz w:val="22"/>
          <w:szCs w:val="22"/>
        </w:rPr>
      </w:pPr>
    </w:p>
    <w:p w14:paraId="5768168A" w14:textId="77777777" w:rsidR="004D450E" w:rsidRPr="000834B8" w:rsidRDefault="004D450E" w:rsidP="004D450E">
      <w:pPr>
        <w:rPr>
          <w:color w:val="FF0000"/>
          <w:sz w:val="22"/>
          <w:szCs w:val="22"/>
        </w:rPr>
      </w:pPr>
      <w:r w:rsidRPr="000834B8">
        <w:rPr>
          <w:color w:val="FF0000"/>
          <w:sz w:val="22"/>
          <w:szCs w:val="22"/>
        </w:rPr>
        <w:t>Changes made:</w:t>
      </w:r>
    </w:p>
    <w:p w14:paraId="03B52564" w14:textId="52D1B998" w:rsidR="004D450E" w:rsidRPr="000834B8" w:rsidRDefault="004D450E" w:rsidP="009A7E21">
      <w:pPr>
        <w:rPr>
          <w:color w:val="FF0000"/>
          <w:sz w:val="22"/>
          <w:szCs w:val="22"/>
        </w:rPr>
      </w:pPr>
      <w:r w:rsidRPr="000834B8">
        <w:rPr>
          <w:color w:val="FF0000"/>
          <w:sz w:val="22"/>
          <w:szCs w:val="22"/>
        </w:rPr>
        <w:t>On page 9, paragraph 2:</w:t>
      </w:r>
    </w:p>
    <w:p w14:paraId="121C3BAE" w14:textId="1B3DEE63" w:rsidR="00906136" w:rsidRPr="000834B8" w:rsidRDefault="00906136" w:rsidP="009A7E21">
      <w:pPr>
        <w:rPr>
          <w:color w:val="FF0000"/>
          <w:sz w:val="22"/>
          <w:szCs w:val="22"/>
        </w:rPr>
      </w:pPr>
      <w:r w:rsidRPr="000834B8">
        <w:rPr>
          <w:color w:val="FF0000"/>
          <w:sz w:val="22"/>
          <w:szCs w:val="22"/>
        </w:rPr>
        <w:t>Replaced: [“</w:t>
      </w:r>
      <w:r w:rsidRPr="000834B8">
        <w:rPr>
          <w:i/>
          <w:color w:val="FF0000"/>
          <w:sz w:val="22"/>
          <w:szCs w:val="22"/>
        </w:rPr>
        <w:t>Our rigorous evaluation of all factors contributing to the absorption allows us to derive the absorption coefficient spectrum entirely from ab initio calculations as shown in Figure 2d for both DFT and GW approximations. Spectra derived from DFT and GW calculations are shifted in energy to coincide with the extracted band gap but have not been scaled. Comparison with experimental data (Fig. 1b) shows that the calculations agree well with the experiment, suggesting that inclusion of band non-</w:t>
      </w:r>
      <w:proofErr w:type="spellStart"/>
      <w:r w:rsidRPr="000834B8">
        <w:rPr>
          <w:i/>
          <w:color w:val="FF0000"/>
          <w:sz w:val="22"/>
          <w:szCs w:val="22"/>
        </w:rPr>
        <w:t>parabolicity</w:t>
      </w:r>
      <w:proofErr w:type="spellEnd"/>
      <w:r w:rsidRPr="000834B8">
        <w:rPr>
          <w:i/>
          <w:color w:val="FF0000"/>
          <w:sz w:val="22"/>
          <w:szCs w:val="22"/>
        </w:rPr>
        <w:t>, higher-lying transitions and the correct functional dependence of the matrix element allows an accurate evaluation of the free-charge absorption coefficient spectrum of CH</w:t>
      </w:r>
      <w:r w:rsidRPr="0040491A">
        <w:rPr>
          <w:i/>
          <w:color w:val="FF0000"/>
          <w:sz w:val="22"/>
          <w:szCs w:val="22"/>
          <w:vertAlign w:val="subscript"/>
        </w:rPr>
        <w:t>3</w:t>
      </w:r>
      <w:r w:rsidRPr="000834B8">
        <w:rPr>
          <w:i/>
          <w:color w:val="FF0000"/>
          <w:sz w:val="22"/>
          <w:szCs w:val="22"/>
        </w:rPr>
        <w:t>NH</w:t>
      </w:r>
      <w:r w:rsidRPr="0040491A">
        <w:rPr>
          <w:i/>
          <w:color w:val="FF0000"/>
          <w:sz w:val="22"/>
          <w:szCs w:val="22"/>
          <w:vertAlign w:val="subscript"/>
        </w:rPr>
        <w:t>3</w:t>
      </w:r>
      <w:r w:rsidRPr="000834B8">
        <w:rPr>
          <w:i/>
          <w:color w:val="FF0000"/>
          <w:sz w:val="22"/>
          <w:szCs w:val="22"/>
        </w:rPr>
        <w:t>PbI</w:t>
      </w:r>
      <w:r w:rsidRPr="0040491A">
        <w:rPr>
          <w:i/>
          <w:color w:val="FF0000"/>
          <w:sz w:val="22"/>
          <w:szCs w:val="22"/>
          <w:vertAlign w:val="subscript"/>
        </w:rPr>
        <w:t>3</w:t>
      </w:r>
      <w:proofErr w:type="gramStart"/>
      <w:r w:rsidRPr="000834B8">
        <w:rPr>
          <w:i/>
          <w:color w:val="FF0000"/>
          <w:sz w:val="22"/>
          <w:szCs w:val="22"/>
        </w:rPr>
        <w:t>.</w:t>
      </w:r>
      <w:r w:rsidRPr="000834B8">
        <w:rPr>
          <w:color w:val="FF0000"/>
          <w:sz w:val="22"/>
          <w:szCs w:val="22"/>
        </w:rPr>
        <w:t xml:space="preserve"> ”</w:t>
      </w:r>
      <w:proofErr w:type="gramEnd"/>
      <w:r w:rsidRPr="000834B8">
        <w:rPr>
          <w:color w:val="FF0000"/>
          <w:sz w:val="22"/>
          <w:szCs w:val="22"/>
        </w:rPr>
        <w:t>]</w:t>
      </w:r>
    </w:p>
    <w:p w14:paraId="4F35823A" w14:textId="77777777" w:rsidR="004D450E" w:rsidRPr="000834B8" w:rsidRDefault="004D450E" w:rsidP="009A7E21">
      <w:pPr>
        <w:rPr>
          <w:color w:val="FF0000"/>
          <w:sz w:val="22"/>
          <w:szCs w:val="22"/>
        </w:rPr>
      </w:pPr>
    </w:p>
    <w:p w14:paraId="0E76EF60" w14:textId="03C9EC34" w:rsidR="00906136" w:rsidRPr="000834B8" w:rsidRDefault="00906136" w:rsidP="009A7E21">
      <w:pPr>
        <w:rPr>
          <w:color w:val="FF0000"/>
          <w:sz w:val="22"/>
          <w:szCs w:val="22"/>
        </w:rPr>
      </w:pPr>
      <w:r w:rsidRPr="000834B8">
        <w:rPr>
          <w:color w:val="FF0000"/>
          <w:sz w:val="22"/>
          <w:szCs w:val="22"/>
        </w:rPr>
        <w:t xml:space="preserve">With: </w:t>
      </w:r>
    </w:p>
    <w:p w14:paraId="6C3E9BA4" w14:textId="5FFA3AEC" w:rsidR="00465446" w:rsidRPr="000834B8" w:rsidRDefault="00465446" w:rsidP="00465446">
      <w:pPr>
        <w:rPr>
          <w:color w:val="FF0000"/>
          <w:sz w:val="22"/>
          <w:szCs w:val="22"/>
        </w:rPr>
      </w:pPr>
      <w:r w:rsidRPr="000834B8">
        <w:rPr>
          <w:color w:val="FF0000"/>
          <w:sz w:val="22"/>
          <w:szCs w:val="22"/>
        </w:rPr>
        <w:t>“Our rig</w:t>
      </w:r>
      <w:r w:rsidR="00E52292" w:rsidRPr="000834B8">
        <w:rPr>
          <w:color w:val="FF0000"/>
          <w:sz w:val="22"/>
          <w:szCs w:val="22"/>
        </w:rPr>
        <w:t>o</w:t>
      </w:r>
      <w:r w:rsidRPr="000834B8">
        <w:rPr>
          <w:color w:val="FF0000"/>
          <w:sz w:val="22"/>
          <w:szCs w:val="22"/>
        </w:rPr>
        <w:t>rous evaluation of all factors contributing to the absorption allows us to derive the absorption coefficient entirely from ab initio calculations (see Supplementary Information), as shown in Figure 2d for both DFT and GW approximations. An accurate calculation of the abso</w:t>
      </w:r>
      <w:r w:rsidR="00CA1F2A" w:rsidRPr="000834B8">
        <w:rPr>
          <w:color w:val="FF0000"/>
          <w:sz w:val="22"/>
          <w:szCs w:val="22"/>
        </w:rPr>
        <w:t>r</w:t>
      </w:r>
      <w:r w:rsidRPr="000834B8">
        <w:rPr>
          <w:color w:val="FF0000"/>
          <w:sz w:val="22"/>
          <w:szCs w:val="22"/>
        </w:rPr>
        <w:t>ption coefficient within the GW approximation requires the inclusion of the off-diagonal terms of the quasiparticle self-energy, which is computationally prohibitive for the case of CH</w:t>
      </w:r>
      <w:r w:rsidRPr="000834B8">
        <w:rPr>
          <w:color w:val="FF0000"/>
          <w:sz w:val="22"/>
          <w:szCs w:val="22"/>
          <w:vertAlign w:val="subscript"/>
        </w:rPr>
        <w:t>3</w:t>
      </w:r>
      <w:r w:rsidRPr="000834B8">
        <w:rPr>
          <w:color w:val="FF0000"/>
          <w:sz w:val="22"/>
          <w:szCs w:val="22"/>
        </w:rPr>
        <w:t>NH</w:t>
      </w:r>
      <w:r w:rsidRPr="000834B8">
        <w:rPr>
          <w:color w:val="FF0000"/>
          <w:sz w:val="22"/>
          <w:szCs w:val="22"/>
          <w:vertAlign w:val="subscript"/>
        </w:rPr>
        <w:t>3</w:t>
      </w:r>
      <w:r w:rsidRPr="000834B8">
        <w:rPr>
          <w:color w:val="FF0000"/>
          <w:sz w:val="22"/>
          <w:szCs w:val="22"/>
        </w:rPr>
        <w:t>PbI</w:t>
      </w:r>
      <w:r w:rsidRPr="000834B8">
        <w:rPr>
          <w:color w:val="FF0000"/>
          <w:sz w:val="22"/>
          <w:szCs w:val="22"/>
          <w:vertAlign w:val="subscript"/>
        </w:rPr>
        <w:t>3</w:t>
      </w:r>
      <w:r w:rsidRPr="000834B8">
        <w:rPr>
          <w:color w:val="FF0000"/>
          <w:sz w:val="22"/>
          <w:szCs w:val="22"/>
        </w:rPr>
        <w:t xml:space="preserve">. Instead, in Figure 2d we show two </w:t>
      </w:r>
      <w:r w:rsidR="00221809" w:rsidRPr="000834B8">
        <w:rPr>
          <w:color w:val="FF0000"/>
          <w:sz w:val="22"/>
          <w:szCs w:val="22"/>
        </w:rPr>
        <w:t>limits of</w:t>
      </w:r>
      <w:r w:rsidR="00CA1F2A" w:rsidRPr="000834B8">
        <w:rPr>
          <w:color w:val="FF0000"/>
          <w:sz w:val="22"/>
          <w:szCs w:val="22"/>
        </w:rPr>
        <w:t xml:space="preserve"> the</w:t>
      </w:r>
      <w:r w:rsidRPr="000834B8">
        <w:rPr>
          <w:color w:val="FF0000"/>
          <w:sz w:val="22"/>
          <w:szCs w:val="22"/>
        </w:rPr>
        <w:t xml:space="preserve"> GW absorption spectra obtained using the dipol</w:t>
      </w:r>
      <w:r w:rsidR="000968D1" w:rsidRPr="000834B8">
        <w:rPr>
          <w:color w:val="FF0000"/>
          <w:sz w:val="22"/>
          <w:szCs w:val="22"/>
        </w:rPr>
        <w:t>e matrix elements calcu</w:t>
      </w:r>
      <w:r w:rsidRPr="000834B8">
        <w:rPr>
          <w:color w:val="FF0000"/>
          <w:sz w:val="22"/>
          <w:szCs w:val="22"/>
        </w:rPr>
        <w:t>lated from DFT, both before and after scaling with respect to the quasiparticle transition energies (see Supplementary Information). Figure 2d shows that the absorption coefficient is sensitive to scaling, and can vary by up to a factor of 4, while the shape of the</w:t>
      </w:r>
      <w:r w:rsidR="000968D1" w:rsidRPr="000834B8">
        <w:rPr>
          <w:color w:val="FF0000"/>
          <w:sz w:val="22"/>
          <w:szCs w:val="22"/>
        </w:rPr>
        <w:t xml:space="preserve"> spectrum does not vary signif</w:t>
      </w:r>
      <w:r w:rsidRPr="000834B8">
        <w:rPr>
          <w:color w:val="FF0000"/>
          <w:sz w:val="22"/>
          <w:szCs w:val="22"/>
        </w:rPr>
        <w:t>icantly. Moreover, it can be shown that the f-sum rule in these two cases is either overestimated, if the matrix elements are scaled, or underestimated in the unscaled case, consisten</w:t>
      </w:r>
      <w:r w:rsidR="000968D1" w:rsidRPr="000834B8">
        <w:rPr>
          <w:color w:val="FF0000"/>
          <w:sz w:val="22"/>
          <w:szCs w:val="22"/>
        </w:rPr>
        <w:t>t with the respec</w:t>
      </w:r>
      <w:r w:rsidRPr="000834B8">
        <w:rPr>
          <w:color w:val="FF0000"/>
          <w:sz w:val="22"/>
          <w:szCs w:val="22"/>
        </w:rPr>
        <w:t xml:space="preserve">tive magnitudes of the absorption coefficient shown in Figure 2d. For this reason, </w:t>
      </w:r>
      <w:r w:rsidRPr="000834B8">
        <w:rPr>
          <w:color w:val="FF0000"/>
          <w:sz w:val="22"/>
          <w:szCs w:val="22"/>
        </w:rPr>
        <w:lastRenderedPageBreak/>
        <w:t>we propose that the true absorption coefficient is bracketed by the scaled and unscaled GW spectra</w:t>
      </w:r>
      <w:r w:rsidR="00CA1F2A" w:rsidRPr="000834B8">
        <w:rPr>
          <w:color w:val="FF0000"/>
          <w:sz w:val="22"/>
          <w:szCs w:val="22"/>
        </w:rPr>
        <w:t xml:space="preserve">, which give </w:t>
      </w:r>
      <w:r w:rsidR="0040491A">
        <w:rPr>
          <w:color w:val="FF0000"/>
          <w:sz w:val="22"/>
          <w:szCs w:val="22"/>
        </w:rPr>
        <w:t>good</w:t>
      </w:r>
      <w:r w:rsidR="00CA1F2A" w:rsidRPr="000834B8">
        <w:rPr>
          <w:color w:val="FF0000"/>
          <w:sz w:val="22"/>
          <w:szCs w:val="22"/>
        </w:rPr>
        <w:t xml:space="preserve"> agreement with the</w:t>
      </w:r>
      <w:r w:rsidRPr="000834B8">
        <w:rPr>
          <w:color w:val="FF0000"/>
          <w:sz w:val="22"/>
          <w:szCs w:val="22"/>
        </w:rPr>
        <w:t xml:space="preserve"> experimental data (</w:t>
      </w:r>
      <w:r w:rsidR="00CA1F2A" w:rsidRPr="000834B8">
        <w:rPr>
          <w:color w:val="FF0000"/>
          <w:sz w:val="22"/>
          <w:szCs w:val="22"/>
          <w:lang w:val="el-GR"/>
        </w:rPr>
        <w:t>α</w:t>
      </w:r>
      <w:r w:rsidR="00CA1F2A" w:rsidRPr="000834B8">
        <w:rPr>
          <w:color w:val="FF0000"/>
          <w:sz w:val="22"/>
          <w:szCs w:val="22"/>
          <w:vertAlign w:val="subscript"/>
        </w:rPr>
        <w:t>free</w:t>
      </w:r>
      <w:r w:rsidR="00CA1F2A" w:rsidRPr="000834B8">
        <w:rPr>
          <w:color w:val="FF0000"/>
          <w:sz w:val="22"/>
          <w:szCs w:val="22"/>
        </w:rPr>
        <w:t xml:space="preserve">, </w:t>
      </w:r>
      <w:r w:rsidRPr="000834B8">
        <w:rPr>
          <w:color w:val="FF0000"/>
          <w:sz w:val="22"/>
          <w:szCs w:val="22"/>
        </w:rPr>
        <w:t>Figure 1b)</w:t>
      </w:r>
      <w:r w:rsidR="00CA1F2A" w:rsidRPr="000834B8">
        <w:rPr>
          <w:color w:val="FF0000"/>
          <w:sz w:val="22"/>
          <w:szCs w:val="22"/>
        </w:rPr>
        <w:t xml:space="preserve">. </w:t>
      </w:r>
      <w:r w:rsidRPr="000834B8">
        <w:rPr>
          <w:color w:val="FF0000"/>
          <w:sz w:val="22"/>
          <w:szCs w:val="22"/>
        </w:rPr>
        <w:t>This result indicates that the inclusion of band non-</w:t>
      </w:r>
      <w:proofErr w:type="spellStart"/>
      <w:r w:rsidRPr="000834B8">
        <w:rPr>
          <w:color w:val="FF0000"/>
          <w:sz w:val="22"/>
          <w:szCs w:val="22"/>
        </w:rPr>
        <w:t>parabolicity</w:t>
      </w:r>
      <w:proofErr w:type="spellEnd"/>
      <w:r w:rsidRPr="000834B8">
        <w:rPr>
          <w:color w:val="FF0000"/>
          <w:sz w:val="22"/>
          <w:szCs w:val="22"/>
        </w:rPr>
        <w:t>, higher-lying transition and the functional dependence of the matrix element are fundamental for the accurate evaluation of the absorption coefficient in CH</w:t>
      </w:r>
      <w:r w:rsidRPr="000834B8">
        <w:rPr>
          <w:color w:val="FF0000"/>
          <w:sz w:val="22"/>
          <w:szCs w:val="22"/>
          <w:vertAlign w:val="subscript"/>
        </w:rPr>
        <w:t>3</w:t>
      </w:r>
      <w:r w:rsidRPr="000834B8">
        <w:rPr>
          <w:color w:val="FF0000"/>
          <w:sz w:val="22"/>
          <w:szCs w:val="22"/>
        </w:rPr>
        <w:t>NH</w:t>
      </w:r>
      <w:r w:rsidRPr="000834B8">
        <w:rPr>
          <w:color w:val="FF0000"/>
          <w:sz w:val="22"/>
          <w:szCs w:val="22"/>
          <w:vertAlign w:val="subscript"/>
        </w:rPr>
        <w:t>3</w:t>
      </w:r>
      <w:r w:rsidRPr="000834B8">
        <w:rPr>
          <w:color w:val="FF0000"/>
          <w:sz w:val="22"/>
          <w:szCs w:val="22"/>
        </w:rPr>
        <w:t>PbI</w:t>
      </w:r>
      <w:r w:rsidRPr="000834B8">
        <w:rPr>
          <w:color w:val="FF0000"/>
          <w:sz w:val="22"/>
          <w:szCs w:val="22"/>
          <w:vertAlign w:val="subscript"/>
        </w:rPr>
        <w:t>3</w:t>
      </w:r>
      <w:r w:rsidRPr="000834B8">
        <w:rPr>
          <w:color w:val="FF0000"/>
          <w:sz w:val="22"/>
          <w:szCs w:val="22"/>
        </w:rPr>
        <w:t>.” [</w:t>
      </w:r>
      <w:r w:rsidRPr="000834B8">
        <w:rPr>
          <w:i/>
          <w:color w:val="FF0000"/>
          <w:sz w:val="22"/>
          <w:szCs w:val="22"/>
        </w:rPr>
        <w:t>Overall ...</w:t>
      </w:r>
      <w:r w:rsidRPr="000834B8">
        <w:rPr>
          <w:color w:val="FF0000"/>
          <w:sz w:val="22"/>
          <w:szCs w:val="22"/>
        </w:rPr>
        <w:t>]</w:t>
      </w:r>
    </w:p>
    <w:p w14:paraId="2E1E761C" w14:textId="77777777" w:rsidR="00586293" w:rsidRPr="000834B8" w:rsidRDefault="00586293" w:rsidP="009A7E21">
      <w:pPr>
        <w:rPr>
          <w:color w:val="FF0000"/>
          <w:sz w:val="22"/>
          <w:szCs w:val="22"/>
        </w:rPr>
      </w:pPr>
    </w:p>
    <w:p w14:paraId="0217D3D2" w14:textId="77777777" w:rsidR="005D273B" w:rsidRPr="000834B8" w:rsidRDefault="005D273B" w:rsidP="0067569E">
      <w:pPr>
        <w:rPr>
          <w:color w:val="FF0000"/>
          <w:sz w:val="22"/>
          <w:szCs w:val="22"/>
        </w:rPr>
      </w:pPr>
    </w:p>
    <w:p w14:paraId="352A6228" w14:textId="77777777" w:rsidR="0067569E" w:rsidRPr="000834B8" w:rsidRDefault="0067569E" w:rsidP="0067569E">
      <w:pPr>
        <w:rPr>
          <w:color w:val="FF0000"/>
          <w:sz w:val="22"/>
          <w:szCs w:val="22"/>
        </w:rPr>
      </w:pPr>
      <w:r w:rsidRPr="000834B8">
        <w:rPr>
          <w:color w:val="FF0000"/>
          <w:sz w:val="22"/>
          <w:szCs w:val="22"/>
        </w:rPr>
        <w:t>Changes made:</w:t>
      </w:r>
    </w:p>
    <w:p w14:paraId="36046901" w14:textId="43FE4498" w:rsidR="0067569E" w:rsidRPr="000834B8" w:rsidRDefault="0067569E" w:rsidP="0067569E">
      <w:pPr>
        <w:rPr>
          <w:color w:val="FF0000"/>
          <w:sz w:val="22"/>
          <w:szCs w:val="22"/>
        </w:rPr>
      </w:pPr>
      <w:r w:rsidRPr="000834B8">
        <w:rPr>
          <w:color w:val="FF0000"/>
          <w:sz w:val="22"/>
          <w:szCs w:val="22"/>
        </w:rPr>
        <w:t>Supplementary Information on page 7, paragraph 2:</w:t>
      </w:r>
    </w:p>
    <w:p w14:paraId="0C9A45DA" w14:textId="0AE5B699" w:rsidR="0067569E" w:rsidRPr="000834B8" w:rsidRDefault="0067569E" w:rsidP="0067569E">
      <w:pPr>
        <w:rPr>
          <w:color w:val="FF0000"/>
          <w:sz w:val="22"/>
          <w:szCs w:val="22"/>
        </w:rPr>
      </w:pPr>
      <w:r w:rsidRPr="000834B8">
        <w:rPr>
          <w:color w:val="FF0000"/>
          <w:sz w:val="22"/>
          <w:szCs w:val="22"/>
        </w:rPr>
        <w:t>Replaced: [ “</w:t>
      </w:r>
      <w:r w:rsidRPr="000834B8">
        <w:rPr>
          <w:i/>
          <w:color w:val="FF0000"/>
          <w:sz w:val="22"/>
          <w:szCs w:val="22"/>
        </w:rPr>
        <w:t>The imaginary part of the dielectric function in this case becomes: [Equation 4]</w:t>
      </w:r>
      <w:proofErr w:type="gramStart"/>
      <w:r w:rsidRPr="000834B8">
        <w:rPr>
          <w:color w:val="FF0000"/>
          <w:sz w:val="22"/>
          <w:szCs w:val="22"/>
        </w:rPr>
        <w:t>” ]</w:t>
      </w:r>
      <w:proofErr w:type="gramEnd"/>
    </w:p>
    <w:p w14:paraId="299ABC83" w14:textId="7139925E" w:rsidR="0067569E" w:rsidRPr="000834B8" w:rsidRDefault="0067569E" w:rsidP="0067569E">
      <w:pPr>
        <w:rPr>
          <w:color w:val="FF0000"/>
          <w:sz w:val="22"/>
          <w:szCs w:val="22"/>
        </w:rPr>
      </w:pPr>
      <w:r w:rsidRPr="000834B8">
        <w:rPr>
          <w:color w:val="FF0000"/>
          <w:sz w:val="22"/>
          <w:szCs w:val="22"/>
        </w:rPr>
        <w:t>With:</w:t>
      </w:r>
    </w:p>
    <w:p w14:paraId="383FAD56" w14:textId="3096D05F" w:rsidR="007B568D" w:rsidRPr="000834B8" w:rsidRDefault="00221809" w:rsidP="007B568D">
      <w:r w:rsidRPr="000834B8">
        <w:rPr>
          <w:color w:val="FF0000"/>
          <w:sz w:val="22"/>
          <w:szCs w:val="22"/>
        </w:rPr>
        <w:t>“</w:t>
      </w:r>
      <w:r w:rsidR="0067569E" w:rsidRPr="000834B8">
        <w:rPr>
          <w:color w:val="FF0000"/>
          <w:sz w:val="22"/>
          <w:szCs w:val="22"/>
        </w:rPr>
        <w:t xml:space="preserve">For comparison, we calculate the GW optical absorption spectrum using </w:t>
      </w:r>
      <w:r w:rsidRPr="000834B8">
        <w:rPr>
          <w:color w:val="FF0000"/>
          <w:sz w:val="22"/>
          <w:szCs w:val="22"/>
        </w:rPr>
        <w:t xml:space="preserve">either </w:t>
      </w:r>
      <w:r w:rsidR="0067569E" w:rsidRPr="000834B8">
        <w:rPr>
          <w:color w:val="FF0000"/>
          <w:sz w:val="22"/>
          <w:szCs w:val="22"/>
        </w:rPr>
        <w:t>the</w:t>
      </w:r>
      <w:r w:rsidR="009031C1" w:rsidRPr="000834B8">
        <w:rPr>
          <w:color w:val="FF0000"/>
          <w:sz w:val="22"/>
          <w:szCs w:val="22"/>
        </w:rPr>
        <w:t xml:space="preserve"> scaled dipole matrix elements (</w:t>
      </w:r>
      <w:r w:rsidR="0067569E" w:rsidRPr="000834B8">
        <w:rPr>
          <w:color w:val="FF0000"/>
          <w:sz w:val="22"/>
          <w:szCs w:val="22"/>
        </w:rPr>
        <w:t>Eq</w:t>
      </w:r>
      <w:r w:rsidR="009031C1" w:rsidRPr="000834B8">
        <w:rPr>
          <w:color w:val="FF0000"/>
          <w:sz w:val="22"/>
          <w:szCs w:val="22"/>
        </w:rPr>
        <w:t xml:space="preserve">uation 3) </w:t>
      </w:r>
      <w:r w:rsidRPr="000834B8">
        <w:rPr>
          <w:color w:val="FF0000"/>
          <w:sz w:val="22"/>
          <w:szCs w:val="22"/>
        </w:rPr>
        <w:t>or</w:t>
      </w:r>
      <w:r w:rsidR="009031C1" w:rsidRPr="000834B8">
        <w:rPr>
          <w:color w:val="FF0000"/>
          <w:sz w:val="22"/>
          <w:szCs w:val="22"/>
        </w:rPr>
        <w:t xml:space="preserve"> the dipole matrix elements calculated directly from DFT, using the </w:t>
      </w:r>
      <w:r w:rsidR="007B568D" w:rsidRPr="000834B8">
        <w:rPr>
          <w:color w:val="FF0000"/>
          <w:sz w:val="22"/>
          <w:szCs w:val="22"/>
        </w:rPr>
        <w:t>f</w:t>
      </w:r>
      <w:r w:rsidR="009031C1" w:rsidRPr="000834B8">
        <w:rPr>
          <w:color w:val="FF0000"/>
          <w:sz w:val="22"/>
          <w:szCs w:val="22"/>
        </w:rPr>
        <w:t>ollowing two expressions:</w:t>
      </w:r>
      <w:r w:rsidRPr="000834B8">
        <w:rPr>
          <w:color w:val="FF0000"/>
          <w:sz w:val="22"/>
          <w:szCs w:val="22"/>
        </w:rPr>
        <w:t>”</w:t>
      </w:r>
    </w:p>
    <w:p w14:paraId="3BB40BEB" w14:textId="77777777" w:rsidR="000834B8" w:rsidRDefault="009031C1" w:rsidP="000834B8">
      <w:pPr>
        <w:jc w:val="center"/>
        <w:rPr>
          <w:b/>
          <w:sz w:val="22"/>
          <w:szCs w:val="22"/>
          <w:u w:val="single"/>
        </w:rPr>
      </w:pPr>
      <w:r w:rsidRPr="000834B8">
        <w:rPr>
          <w:noProof/>
          <w:color w:val="FF0000"/>
          <w:sz w:val="22"/>
          <w:szCs w:val="22"/>
        </w:rPr>
        <w:drawing>
          <wp:inline distT="0" distB="0" distL="0" distR="0" wp14:anchorId="741E5BAF" wp14:editId="50D095DB">
            <wp:extent cx="4649855" cy="1019028"/>
            <wp:effectExtent l="0" t="0" r="0" b="0"/>
            <wp:docPr id="5" name="Picture 5" descr="Crucial:Users:ChrisDavies:Desktop:Screen Shot 2017-10-24 at 18.4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rucial:Users:ChrisDavies:Desktop:Screen Shot 2017-10-24 at 18.41.25.png"/>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655202" cy="1020200"/>
                    </a:xfrm>
                    <a:prstGeom prst="rect">
                      <a:avLst/>
                    </a:prstGeom>
                    <a:noFill/>
                    <a:ln>
                      <a:noFill/>
                    </a:ln>
                  </pic:spPr>
                </pic:pic>
              </a:graphicData>
            </a:graphic>
          </wp:inline>
        </w:drawing>
      </w:r>
    </w:p>
    <w:p w14:paraId="2158A499" w14:textId="77777777" w:rsidR="000834B8" w:rsidRDefault="000834B8" w:rsidP="000834B8">
      <w:pPr>
        <w:jc w:val="center"/>
        <w:rPr>
          <w:b/>
          <w:sz w:val="22"/>
          <w:szCs w:val="22"/>
          <w:u w:val="single"/>
        </w:rPr>
      </w:pPr>
    </w:p>
    <w:p w14:paraId="60AF53C7" w14:textId="77777777" w:rsidR="000834B8" w:rsidRDefault="000834B8" w:rsidP="000834B8">
      <w:pPr>
        <w:rPr>
          <w:b/>
          <w:sz w:val="22"/>
          <w:szCs w:val="22"/>
          <w:u w:val="single"/>
        </w:rPr>
      </w:pPr>
    </w:p>
    <w:p w14:paraId="412DDD19" w14:textId="77777777" w:rsidR="000834B8" w:rsidRDefault="000834B8" w:rsidP="000834B8">
      <w:pPr>
        <w:rPr>
          <w:b/>
          <w:sz w:val="22"/>
          <w:szCs w:val="22"/>
          <w:u w:val="single"/>
        </w:rPr>
      </w:pPr>
    </w:p>
    <w:p w14:paraId="71FDEAEA" w14:textId="77777777" w:rsidR="0040491A" w:rsidRDefault="0040491A" w:rsidP="000834B8">
      <w:pPr>
        <w:rPr>
          <w:b/>
          <w:sz w:val="22"/>
          <w:szCs w:val="22"/>
          <w:u w:val="single"/>
        </w:rPr>
      </w:pPr>
    </w:p>
    <w:p w14:paraId="5D456381" w14:textId="053A1C34" w:rsidR="00002221" w:rsidRPr="000834B8" w:rsidRDefault="00002221" w:rsidP="000834B8">
      <w:pPr>
        <w:rPr>
          <w:color w:val="FF0000"/>
          <w:sz w:val="22"/>
          <w:szCs w:val="22"/>
        </w:rPr>
      </w:pPr>
      <w:r w:rsidRPr="000834B8">
        <w:rPr>
          <w:b/>
          <w:sz w:val="22"/>
          <w:szCs w:val="22"/>
          <w:u w:val="single"/>
        </w:rPr>
        <w:t>Response to Referee 3:</w:t>
      </w:r>
    </w:p>
    <w:p w14:paraId="76E11007" w14:textId="77777777" w:rsidR="00002221" w:rsidRPr="000834B8" w:rsidRDefault="00002221" w:rsidP="00002221">
      <w:pPr>
        <w:rPr>
          <w:b/>
          <w:sz w:val="22"/>
          <w:szCs w:val="22"/>
          <w:u w:val="single"/>
        </w:rPr>
      </w:pPr>
    </w:p>
    <w:p w14:paraId="4921504B" w14:textId="77777777" w:rsidR="00ED0665" w:rsidRPr="000834B8" w:rsidRDefault="00ED0665" w:rsidP="00ED0665">
      <w:pPr>
        <w:rPr>
          <w:rFonts w:eastAsia="Times New Roman"/>
          <w:b/>
          <w:color w:val="000000"/>
          <w:sz w:val="22"/>
          <w:szCs w:val="22"/>
          <w:shd w:val="clear" w:color="auto" w:fill="FFFFFF"/>
        </w:rPr>
      </w:pPr>
      <w:r w:rsidRPr="000834B8">
        <w:rPr>
          <w:rFonts w:eastAsia="Times New Roman"/>
          <w:b/>
          <w:color w:val="000000"/>
          <w:sz w:val="22"/>
          <w:szCs w:val="22"/>
          <w:shd w:val="clear" w:color="auto" w:fill="FFFFFF"/>
        </w:rPr>
        <w:t>Dear Editor, the paper</w:t>
      </w:r>
      <w:r w:rsidRPr="000834B8">
        <w:rPr>
          <w:rFonts w:eastAsia="Times New Roman"/>
          <w:b/>
          <w:color w:val="000000"/>
          <w:sz w:val="22"/>
          <w:szCs w:val="22"/>
        </w:rPr>
        <w:t xml:space="preserve"> </w:t>
      </w:r>
      <w:r w:rsidRPr="000834B8">
        <w:rPr>
          <w:rFonts w:eastAsia="Times New Roman"/>
          <w:b/>
          <w:color w:val="000000"/>
          <w:sz w:val="22"/>
          <w:szCs w:val="22"/>
          <w:shd w:val="clear" w:color="auto" w:fill="FFFFFF"/>
        </w:rPr>
        <w:t xml:space="preserve">Bimolecular Recombination </w:t>
      </w:r>
      <w:proofErr w:type="gramStart"/>
      <w:r w:rsidRPr="000834B8">
        <w:rPr>
          <w:rFonts w:eastAsia="Times New Roman"/>
          <w:b/>
          <w:color w:val="000000"/>
          <w:sz w:val="22"/>
          <w:szCs w:val="22"/>
          <w:shd w:val="clear" w:color="auto" w:fill="FFFFFF"/>
        </w:rPr>
        <w:t>In</w:t>
      </w:r>
      <w:proofErr w:type="gramEnd"/>
      <w:r w:rsidRPr="000834B8">
        <w:rPr>
          <w:rFonts w:eastAsia="Times New Roman"/>
          <w:b/>
          <w:color w:val="000000"/>
          <w:sz w:val="22"/>
          <w:szCs w:val="22"/>
          <w:shd w:val="clear" w:color="auto" w:fill="FFFFFF"/>
        </w:rPr>
        <w:t xml:space="preserve"> </w:t>
      </w:r>
      <w:proofErr w:type="spellStart"/>
      <w:r w:rsidRPr="000834B8">
        <w:rPr>
          <w:rFonts w:eastAsia="Times New Roman"/>
          <w:b/>
          <w:color w:val="000000"/>
          <w:sz w:val="22"/>
          <w:szCs w:val="22"/>
          <w:shd w:val="clear" w:color="auto" w:fill="FFFFFF"/>
        </w:rPr>
        <w:t>Methylammonium</w:t>
      </w:r>
      <w:proofErr w:type="spellEnd"/>
      <w:r w:rsidRPr="000834B8">
        <w:rPr>
          <w:rFonts w:eastAsia="Times New Roman"/>
          <w:b/>
          <w:color w:val="000000"/>
          <w:sz w:val="22"/>
          <w:szCs w:val="22"/>
          <w:shd w:val="clear" w:color="auto" w:fill="FFFFFF"/>
        </w:rPr>
        <w:t xml:space="preserve"> Lead Triiodide Perovskite: An Inverse Absorption Process by Christopher L. Davies, Marina R. Filip, Jay B. Patel, Timothy W. Crothers, Carla Verdi, Adam D. Wright, Rebecca L. </w:t>
      </w:r>
      <w:proofErr w:type="spellStart"/>
      <w:r w:rsidRPr="000834B8">
        <w:rPr>
          <w:rFonts w:eastAsia="Times New Roman"/>
          <w:b/>
          <w:color w:val="000000"/>
          <w:sz w:val="22"/>
          <w:szCs w:val="22"/>
          <w:shd w:val="clear" w:color="auto" w:fill="FFFFFF"/>
        </w:rPr>
        <w:t>Milot</w:t>
      </w:r>
      <w:proofErr w:type="spellEnd"/>
      <w:r w:rsidRPr="000834B8">
        <w:rPr>
          <w:rFonts w:eastAsia="Times New Roman"/>
          <w:b/>
          <w:color w:val="000000"/>
          <w:sz w:val="22"/>
          <w:szCs w:val="22"/>
          <w:shd w:val="clear" w:color="auto" w:fill="FFFFFF"/>
        </w:rPr>
        <w:t xml:space="preserve">, Feliciano </w:t>
      </w:r>
      <w:proofErr w:type="spellStart"/>
      <w:r w:rsidRPr="000834B8">
        <w:rPr>
          <w:rFonts w:eastAsia="Times New Roman"/>
          <w:b/>
          <w:color w:val="000000"/>
          <w:sz w:val="22"/>
          <w:szCs w:val="22"/>
          <w:shd w:val="clear" w:color="auto" w:fill="FFFFFF"/>
        </w:rPr>
        <w:t>Giustino</w:t>
      </w:r>
      <w:proofErr w:type="spellEnd"/>
      <w:r w:rsidRPr="000834B8">
        <w:rPr>
          <w:rFonts w:eastAsia="Times New Roman"/>
          <w:b/>
          <w:color w:val="000000"/>
          <w:sz w:val="22"/>
          <w:szCs w:val="22"/>
          <w:shd w:val="clear" w:color="auto" w:fill="FFFFFF"/>
        </w:rPr>
        <w:t>, Michael B. Johnston &amp; Laura M. Herz</w:t>
      </w:r>
      <w:r w:rsidRPr="000834B8">
        <w:rPr>
          <w:rFonts w:eastAsia="Times New Roman"/>
          <w:b/>
          <w:color w:val="000000"/>
          <w:sz w:val="22"/>
          <w:szCs w:val="22"/>
        </w:rPr>
        <w:t xml:space="preserve"> </w:t>
      </w:r>
      <w:r w:rsidRPr="000834B8">
        <w:rPr>
          <w:rFonts w:eastAsia="Times New Roman"/>
          <w:b/>
          <w:color w:val="000000"/>
          <w:sz w:val="22"/>
          <w:szCs w:val="22"/>
          <w:shd w:val="clear" w:color="auto" w:fill="FFFFFF"/>
        </w:rPr>
        <w:t xml:space="preserve">reports a detailed and accurate analysis of the bimolecular charge-carrier recombination in </w:t>
      </w:r>
      <w:proofErr w:type="spellStart"/>
      <w:r w:rsidRPr="000834B8">
        <w:rPr>
          <w:rFonts w:eastAsia="Times New Roman"/>
          <w:b/>
          <w:color w:val="000000"/>
          <w:sz w:val="22"/>
          <w:szCs w:val="22"/>
          <w:shd w:val="clear" w:color="auto" w:fill="FFFFFF"/>
        </w:rPr>
        <w:t>methylammonium</w:t>
      </w:r>
      <w:proofErr w:type="spellEnd"/>
      <w:r w:rsidRPr="000834B8">
        <w:rPr>
          <w:rFonts w:eastAsia="Times New Roman"/>
          <w:b/>
          <w:color w:val="000000"/>
          <w:sz w:val="22"/>
          <w:szCs w:val="22"/>
          <w:shd w:val="clear" w:color="auto" w:fill="FFFFFF"/>
        </w:rPr>
        <w:t xml:space="preserve"> lead triiodide perovskite. The work is based on the analysis of the absorption data measured on thermal evaporated thin films with tungsten halogen lamp as the illumination source. The absorption spectra are recorded at different temperatures and analyzed by using the Elliot's theory </w:t>
      </w:r>
      <w:proofErr w:type="spellStart"/>
      <w:r w:rsidRPr="000834B8">
        <w:rPr>
          <w:rFonts w:eastAsia="Times New Roman"/>
          <w:b/>
          <w:color w:val="000000"/>
          <w:sz w:val="22"/>
          <w:szCs w:val="22"/>
          <w:shd w:val="clear" w:color="auto" w:fill="FFFFFF"/>
        </w:rPr>
        <w:t>accouting</w:t>
      </w:r>
      <w:proofErr w:type="spellEnd"/>
      <w:r w:rsidRPr="000834B8">
        <w:rPr>
          <w:rFonts w:eastAsia="Times New Roman"/>
          <w:b/>
          <w:color w:val="000000"/>
          <w:sz w:val="22"/>
          <w:szCs w:val="22"/>
          <w:shd w:val="clear" w:color="auto" w:fill="FFFFFF"/>
        </w:rPr>
        <w:t xml:space="preserve"> for both excitons and hole-electron population.</w:t>
      </w:r>
      <w:r w:rsidRPr="000834B8">
        <w:rPr>
          <w:rFonts w:eastAsia="Times New Roman"/>
          <w:b/>
          <w:color w:val="000000"/>
          <w:sz w:val="22"/>
          <w:szCs w:val="22"/>
        </w:rPr>
        <w:br/>
      </w:r>
      <w:r w:rsidRPr="000834B8">
        <w:rPr>
          <w:rFonts w:eastAsia="Times New Roman"/>
          <w:b/>
          <w:color w:val="000000"/>
          <w:sz w:val="22"/>
          <w:szCs w:val="22"/>
          <w:shd w:val="clear" w:color="auto" w:fill="FFFFFF"/>
        </w:rPr>
        <w:t xml:space="preserve">The important concept discussed in the paper is that the absorption from free (screened) electrons and holes must be increased by the Coulomb-enhancement factor ξ. The absorption coefficient, once rescaled, can be used to estimate the bimolecular recombination through Van </w:t>
      </w:r>
      <w:proofErr w:type="spellStart"/>
      <w:r w:rsidRPr="000834B8">
        <w:rPr>
          <w:rFonts w:eastAsia="Times New Roman"/>
          <w:b/>
          <w:color w:val="000000"/>
          <w:sz w:val="22"/>
          <w:szCs w:val="22"/>
          <w:shd w:val="clear" w:color="auto" w:fill="FFFFFF"/>
        </w:rPr>
        <w:t>Roosbroek</w:t>
      </w:r>
      <w:proofErr w:type="spellEnd"/>
      <w:r w:rsidRPr="000834B8">
        <w:rPr>
          <w:rFonts w:eastAsia="Times New Roman"/>
          <w:b/>
          <w:color w:val="000000"/>
          <w:sz w:val="22"/>
          <w:szCs w:val="22"/>
          <w:shd w:val="clear" w:color="auto" w:fill="FFFFFF"/>
        </w:rPr>
        <w:t xml:space="preserve"> relation (equation 2 and 31 of the SI). Such a methodological approach is clearly stated in the title as the recombination is described as the inverse absorption mechanism.</w:t>
      </w:r>
      <w:r w:rsidRPr="000834B8">
        <w:rPr>
          <w:rFonts w:eastAsia="Times New Roman"/>
          <w:b/>
          <w:color w:val="000000"/>
          <w:sz w:val="22"/>
          <w:szCs w:val="22"/>
        </w:rPr>
        <w:br/>
      </w:r>
      <w:r w:rsidRPr="000834B8">
        <w:rPr>
          <w:rFonts w:eastAsia="Times New Roman"/>
          <w:b/>
          <w:color w:val="000000"/>
          <w:sz w:val="22"/>
          <w:szCs w:val="22"/>
          <w:shd w:val="clear" w:color="auto" w:fill="FFFFFF"/>
        </w:rPr>
        <w:t>The Authors claim that the enhancement of the optical absorption is mandatory to predict bimolecular recombination from absorption and to reconcile predicted values with experimental data. The enhancement is important particularly at low temperatures and low injection when the screening of photo-generated carriers is inefficient. The parameter is not a constant but it is extrapolated by fitting the measured absorption data. </w:t>
      </w:r>
      <w:r w:rsidRPr="000834B8">
        <w:rPr>
          <w:rFonts w:eastAsia="Times New Roman"/>
          <w:b/>
          <w:color w:val="000000"/>
          <w:sz w:val="22"/>
          <w:szCs w:val="22"/>
        </w:rPr>
        <w:br/>
      </w:r>
      <w:r w:rsidRPr="000834B8">
        <w:rPr>
          <w:rFonts w:eastAsia="Times New Roman"/>
          <w:b/>
          <w:color w:val="000000"/>
          <w:sz w:val="22"/>
          <w:szCs w:val="22"/>
          <w:shd w:val="clear" w:color="auto" w:fill="FFFFFF"/>
        </w:rPr>
        <w:t>The paper is well written and performed competently but I don't think it is appropriate for Nature Communication. </w:t>
      </w:r>
      <w:r w:rsidRPr="000834B8">
        <w:rPr>
          <w:rFonts w:eastAsia="Times New Roman"/>
          <w:b/>
          <w:color w:val="000000"/>
          <w:sz w:val="22"/>
          <w:szCs w:val="22"/>
        </w:rPr>
        <w:br/>
      </w:r>
      <w:r w:rsidRPr="000834B8">
        <w:rPr>
          <w:rFonts w:eastAsia="Times New Roman"/>
          <w:b/>
          <w:color w:val="000000"/>
          <w:sz w:val="22"/>
          <w:szCs w:val="22"/>
          <w:shd w:val="clear" w:color="auto" w:fill="FFFFFF"/>
        </w:rPr>
        <w:t xml:space="preserve">Though the paper contains interesting material, it is incremental with respect to state-of-the-art understanding of the hybrid perovskites. The Elliot's theory and the </w:t>
      </w:r>
      <w:proofErr w:type="spellStart"/>
      <w:r w:rsidRPr="000834B8">
        <w:rPr>
          <w:rFonts w:eastAsia="Times New Roman"/>
          <w:b/>
          <w:color w:val="000000"/>
          <w:sz w:val="22"/>
          <w:szCs w:val="22"/>
          <w:shd w:val="clear" w:color="auto" w:fill="FFFFFF"/>
        </w:rPr>
        <w:t>e-h+coulomb</w:t>
      </w:r>
      <w:proofErr w:type="spellEnd"/>
      <w:r w:rsidRPr="000834B8">
        <w:rPr>
          <w:rFonts w:eastAsia="Times New Roman"/>
          <w:b/>
          <w:color w:val="000000"/>
          <w:sz w:val="22"/>
          <w:szCs w:val="22"/>
          <w:shd w:val="clear" w:color="auto" w:fill="FFFFFF"/>
        </w:rPr>
        <w:t xml:space="preserve"> enhancement </w:t>
      </w:r>
      <w:proofErr w:type="gramStart"/>
      <w:r w:rsidRPr="000834B8">
        <w:rPr>
          <w:rFonts w:eastAsia="Times New Roman"/>
          <w:b/>
          <w:color w:val="000000"/>
          <w:sz w:val="22"/>
          <w:szCs w:val="22"/>
          <w:shd w:val="clear" w:color="auto" w:fill="FFFFFF"/>
        </w:rPr>
        <w:t>have</w:t>
      </w:r>
      <w:proofErr w:type="gramEnd"/>
      <w:r w:rsidRPr="000834B8">
        <w:rPr>
          <w:rFonts w:eastAsia="Times New Roman"/>
          <w:b/>
          <w:color w:val="000000"/>
          <w:sz w:val="22"/>
          <w:szCs w:val="22"/>
          <w:shd w:val="clear" w:color="auto" w:fill="FFFFFF"/>
        </w:rPr>
        <w:t xml:space="preserve"> been already reported in literature (see for example Ref. 53). </w:t>
      </w:r>
      <w:proofErr w:type="gramStart"/>
      <w:r w:rsidRPr="000834B8">
        <w:rPr>
          <w:rFonts w:eastAsia="Times New Roman"/>
          <w:b/>
          <w:color w:val="000000"/>
          <w:sz w:val="22"/>
          <w:szCs w:val="22"/>
          <w:shd w:val="clear" w:color="auto" w:fill="FFFFFF"/>
        </w:rPr>
        <w:t>Also</w:t>
      </w:r>
      <w:proofErr w:type="gramEnd"/>
      <w:r w:rsidRPr="000834B8">
        <w:rPr>
          <w:rFonts w:eastAsia="Times New Roman"/>
          <w:b/>
          <w:color w:val="000000"/>
          <w:sz w:val="22"/>
          <w:szCs w:val="22"/>
          <w:shd w:val="clear" w:color="auto" w:fill="FFFFFF"/>
        </w:rPr>
        <w:t xml:space="preserve"> the use of the absorption coefficient to estimate the bimolecular recombination was discussed in literature cited in the present paper. The picture supported by the present results is that the material behaves mainly as a standard inorganic semiconductor for which radiative recombination from free (though correlated or enhanced) hole-electrons is the limiting factor towards </w:t>
      </w:r>
      <w:proofErr w:type="spellStart"/>
      <w:r w:rsidRPr="000834B8">
        <w:rPr>
          <w:rFonts w:eastAsia="Times New Roman"/>
          <w:b/>
          <w:color w:val="000000"/>
          <w:sz w:val="22"/>
          <w:szCs w:val="22"/>
          <w:shd w:val="clear" w:color="auto" w:fill="FFFFFF"/>
        </w:rPr>
        <w:t>photoconversion</w:t>
      </w:r>
      <w:proofErr w:type="spellEnd"/>
      <w:r w:rsidRPr="000834B8">
        <w:rPr>
          <w:rFonts w:eastAsia="Times New Roman"/>
          <w:b/>
          <w:color w:val="000000"/>
          <w:sz w:val="22"/>
          <w:szCs w:val="22"/>
          <w:shd w:val="clear" w:color="auto" w:fill="FFFFFF"/>
        </w:rPr>
        <w:t>.</w:t>
      </w:r>
      <w:r w:rsidRPr="000834B8">
        <w:rPr>
          <w:rFonts w:eastAsia="Times New Roman"/>
          <w:b/>
          <w:color w:val="000000"/>
          <w:sz w:val="22"/>
          <w:szCs w:val="22"/>
        </w:rPr>
        <w:br/>
      </w:r>
      <w:r w:rsidRPr="000834B8">
        <w:rPr>
          <w:rFonts w:eastAsia="Times New Roman"/>
          <w:b/>
          <w:color w:val="000000"/>
          <w:sz w:val="22"/>
          <w:szCs w:val="22"/>
          <w:shd w:val="clear" w:color="auto" w:fill="FFFFFF"/>
        </w:rPr>
        <w:t>I think that the paper is more relevant from a methodological point of view with the supporting information containing material that should probably go in the main text in a regular article format. In conclusion, this is a good paper that deserves publication but I suggest an alternative long-format regular article.</w:t>
      </w:r>
    </w:p>
    <w:p w14:paraId="3A7ABCC4" w14:textId="77777777" w:rsidR="00ED0665" w:rsidRPr="000834B8" w:rsidRDefault="00ED0665" w:rsidP="00ED0665">
      <w:pPr>
        <w:rPr>
          <w:rFonts w:eastAsia="Times New Roman"/>
          <w:b/>
          <w:color w:val="000000"/>
          <w:sz w:val="22"/>
          <w:szCs w:val="22"/>
          <w:shd w:val="clear" w:color="auto" w:fill="FFFFFF"/>
        </w:rPr>
      </w:pPr>
    </w:p>
    <w:p w14:paraId="09A001B0" w14:textId="77777777" w:rsidR="00ED0665" w:rsidRPr="000834B8" w:rsidRDefault="00ED0665" w:rsidP="00ED0665">
      <w:pPr>
        <w:rPr>
          <w:sz w:val="22"/>
          <w:szCs w:val="22"/>
        </w:rPr>
      </w:pPr>
      <w:r w:rsidRPr="000834B8">
        <w:rPr>
          <w:sz w:val="22"/>
          <w:szCs w:val="22"/>
        </w:rPr>
        <w:lastRenderedPageBreak/>
        <w:t xml:space="preserve">Author reply: </w:t>
      </w:r>
    </w:p>
    <w:p w14:paraId="554CDFD0" w14:textId="2DC9D72A" w:rsidR="00A64D0D" w:rsidRPr="000834B8" w:rsidRDefault="0037230E" w:rsidP="00ED0665">
      <w:pPr>
        <w:rPr>
          <w:sz w:val="22"/>
          <w:szCs w:val="22"/>
        </w:rPr>
      </w:pPr>
      <w:r w:rsidRPr="000834B8">
        <w:rPr>
          <w:sz w:val="22"/>
          <w:szCs w:val="22"/>
        </w:rPr>
        <w:t xml:space="preserve">We </w:t>
      </w:r>
      <w:r w:rsidR="00F63885" w:rsidRPr="000834B8">
        <w:rPr>
          <w:sz w:val="22"/>
          <w:szCs w:val="22"/>
        </w:rPr>
        <w:t>thank</w:t>
      </w:r>
      <w:r w:rsidRPr="000834B8">
        <w:rPr>
          <w:sz w:val="22"/>
          <w:szCs w:val="22"/>
        </w:rPr>
        <w:t xml:space="preserve"> the referee</w:t>
      </w:r>
      <w:r w:rsidR="00F63885" w:rsidRPr="000834B8">
        <w:rPr>
          <w:sz w:val="22"/>
          <w:szCs w:val="22"/>
        </w:rPr>
        <w:t xml:space="preserve"> for his/her</w:t>
      </w:r>
      <w:r w:rsidRPr="000834B8">
        <w:rPr>
          <w:sz w:val="22"/>
          <w:szCs w:val="22"/>
        </w:rPr>
        <w:t xml:space="preserve"> acknowledge</w:t>
      </w:r>
      <w:r w:rsidR="00F63885" w:rsidRPr="000834B8">
        <w:rPr>
          <w:sz w:val="22"/>
          <w:szCs w:val="22"/>
        </w:rPr>
        <w:t>ment</w:t>
      </w:r>
      <w:r w:rsidRPr="000834B8">
        <w:rPr>
          <w:sz w:val="22"/>
          <w:szCs w:val="22"/>
        </w:rPr>
        <w:t xml:space="preserve"> that the paper was interesting and </w:t>
      </w:r>
      <w:r w:rsidR="00F63885" w:rsidRPr="000834B8">
        <w:rPr>
          <w:sz w:val="22"/>
          <w:szCs w:val="22"/>
        </w:rPr>
        <w:t xml:space="preserve">well </w:t>
      </w:r>
      <w:r w:rsidRPr="000834B8">
        <w:rPr>
          <w:sz w:val="22"/>
          <w:szCs w:val="22"/>
        </w:rPr>
        <w:t>written.</w:t>
      </w:r>
      <w:r w:rsidR="00A64D0D" w:rsidRPr="000834B8">
        <w:rPr>
          <w:sz w:val="22"/>
          <w:szCs w:val="22"/>
        </w:rPr>
        <w:t xml:space="preserve"> </w:t>
      </w:r>
      <w:r w:rsidR="005A2278" w:rsidRPr="000834B8">
        <w:rPr>
          <w:sz w:val="22"/>
          <w:szCs w:val="22"/>
        </w:rPr>
        <w:t xml:space="preserve">  </w:t>
      </w:r>
      <w:r w:rsidR="00F63885" w:rsidRPr="000834B8">
        <w:rPr>
          <w:sz w:val="22"/>
          <w:szCs w:val="22"/>
        </w:rPr>
        <w:t>Regarding the Coulomb enhancement factor, t</w:t>
      </w:r>
      <w:r w:rsidR="00E53FDB" w:rsidRPr="000834B8">
        <w:rPr>
          <w:sz w:val="22"/>
          <w:szCs w:val="22"/>
        </w:rPr>
        <w:t xml:space="preserve">he referee </w:t>
      </w:r>
      <w:r w:rsidR="00F63885" w:rsidRPr="000834B8">
        <w:rPr>
          <w:sz w:val="22"/>
          <w:szCs w:val="22"/>
        </w:rPr>
        <w:t xml:space="preserve">may possibly have perceived this to be a </w:t>
      </w:r>
      <w:r w:rsidR="00E53FDB" w:rsidRPr="000834B8">
        <w:rPr>
          <w:sz w:val="22"/>
          <w:szCs w:val="22"/>
        </w:rPr>
        <w:t xml:space="preserve">free parameter; </w:t>
      </w:r>
      <w:r w:rsidR="00F63885" w:rsidRPr="000834B8">
        <w:rPr>
          <w:sz w:val="22"/>
          <w:szCs w:val="22"/>
        </w:rPr>
        <w:t>however</w:t>
      </w:r>
      <w:r w:rsidR="00C0662A">
        <w:rPr>
          <w:sz w:val="22"/>
          <w:szCs w:val="22"/>
        </w:rPr>
        <w:t>,</w:t>
      </w:r>
      <w:r w:rsidR="00F63885" w:rsidRPr="000834B8">
        <w:rPr>
          <w:sz w:val="22"/>
          <w:szCs w:val="22"/>
        </w:rPr>
        <w:t xml:space="preserve"> </w:t>
      </w:r>
      <w:r w:rsidR="00E53FDB" w:rsidRPr="000834B8">
        <w:rPr>
          <w:sz w:val="22"/>
          <w:szCs w:val="22"/>
        </w:rPr>
        <w:t xml:space="preserve">it is </w:t>
      </w:r>
      <w:r w:rsidR="00F63885" w:rsidRPr="000834B8">
        <w:rPr>
          <w:sz w:val="22"/>
          <w:szCs w:val="22"/>
        </w:rPr>
        <w:t xml:space="preserve">actually </w:t>
      </w:r>
      <w:r w:rsidR="0033172F" w:rsidRPr="000834B8">
        <w:rPr>
          <w:sz w:val="22"/>
          <w:szCs w:val="22"/>
        </w:rPr>
        <w:t xml:space="preserve">a </w:t>
      </w:r>
      <w:r w:rsidR="00E53FDB" w:rsidRPr="000834B8">
        <w:rPr>
          <w:sz w:val="22"/>
          <w:szCs w:val="22"/>
        </w:rPr>
        <w:t>fixed</w:t>
      </w:r>
      <w:r w:rsidR="0033172F" w:rsidRPr="000834B8">
        <w:rPr>
          <w:sz w:val="22"/>
          <w:szCs w:val="22"/>
        </w:rPr>
        <w:t xml:space="preserve"> </w:t>
      </w:r>
      <w:r w:rsidR="00BF7991" w:rsidRPr="000834B8">
        <w:rPr>
          <w:sz w:val="22"/>
          <w:szCs w:val="22"/>
        </w:rPr>
        <w:t>function of energy</w:t>
      </w:r>
      <w:r w:rsidR="0033172F" w:rsidRPr="000834B8">
        <w:rPr>
          <w:sz w:val="22"/>
          <w:szCs w:val="22"/>
        </w:rPr>
        <w:t xml:space="preserve"> determined by</w:t>
      </w:r>
      <w:r w:rsidR="00E53FDB" w:rsidRPr="000834B8">
        <w:rPr>
          <w:sz w:val="22"/>
          <w:szCs w:val="22"/>
        </w:rPr>
        <w:t xml:space="preserve"> the </w:t>
      </w:r>
      <w:r w:rsidR="00633908" w:rsidRPr="000834B8">
        <w:rPr>
          <w:sz w:val="22"/>
          <w:szCs w:val="22"/>
        </w:rPr>
        <w:t xml:space="preserve">extracted </w:t>
      </w:r>
      <w:r w:rsidR="00E53FDB" w:rsidRPr="000834B8">
        <w:rPr>
          <w:sz w:val="22"/>
          <w:szCs w:val="22"/>
        </w:rPr>
        <w:t>band gap and binding energy</w:t>
      </w:r>
      <w:r w:rsidR="00633908" w:rsidRPr="000834B8">
        <w:rPr>
          <w:sz w:val="22"/>
          <w:szCs w:val="22"/>
        </w:rPr>
        <w:t>,</w:t>
      </w:r>
      <w:r w:rsidR="00E53FDB" w:rsidRPr="000834B8">
        <w:rPr>
          <w:sz w:val="22"/>
          <w:szCs w:val="22"/>
        </w:rPr>
        <w:t xml:space="preserve"> and ca</w:t>
      </w:r>
      <w:r w:rsidR="00CC028A" w:rsidRPr="000834B8">
        <w:rPr>
          <w:sz w:val="22"/>
          <w:szCs w:val="22"/>
        </w:rPr>
        <w:t xml:space="preserve">lculated </w:t>
      </w:r>
      <w:r w:rsidR="009224AD" w:rsidRPr="000834B8">
        <w:rPr>
          <w:sz w:val="22"/>
          <w:szCs w:val="22"/>
        </w:rPr>
        <w:t>using</w:t>
      </w:r>
      <w:r w:rsidR="00C0662A">
        <w:rPr>
          <w:sz w:val="22"/>
          <w:szCs w:val="22"/>
        </w:rPr>
        <w:t xml:space="preserve"> E</w:t>
      </w:r>
      <w:r w:rsidR="00CC028A" w:rsidRPr="000834B8">
        <w:rPr>
          <w:sz w:val="22"/>
          <w:szCs w:val="22"/>
        </w:rPr>
        <w:t xml:space="preserve">quation 10 </w:t>
      </w:r>
      <w:r w:rsidR="00F63885" w:rsidRPr="000834B8">
        <w:rPr>
          <w:sz w:val="22"/>
          <w:szCs w:val="22"/>
        </w:rPr>
        <w:t xml:space="preserve">given </w:t>
      </w:r>
      <w:r w:rsidR="00CC028A" w:rsidRPr="000834B8">
        <w:rPr>
          <w:sz w:val="22"/>
          <w:szCs w:val="22"/>
        </w:rPr>
        <w:t xml:space="preserve">in the </w:t>
      </w:r>
      <w:r w:rsidR="00E03EB3" w:rsidRPr="000834B8">
        <w:rPr>
          <w:sz w:val="22"/>
          <w:szCs w:val="22"/>
        </w:rPr>
        <w:t>Supplementary</w:t>
      </w:r>
      <w:r w:rsidR="00CC028A" w:rsidRPr="000834B8">
        <w:rPr>
          <w:sz w:val="22"/>
          <w:szCs w:val="22"/>
        </w:rPr>
        <w:t xml:space="preserve"> I</w:t>
      </w:r>
      <w:r w:rsidR="00E53FDB" w:rsidRPr="000834B8">
        <w:rPr>
          <w:sz w:val="22"/>
          <w:szCs w:val="22"/>
        </w:rPr>
        <w:t>nformation.</w:t>
      </w:r>
      <w:r w:rsidR="00AE41E0" w:rsidRPr="000834B8">
        <w:rPr>
          <w:sz w:val="22"/>
          <w:szCs w:val="22"/>
        </w:rPr>
        <w:t xml:space="preserve">  We have </w:t>
      </w:r>
      <w:r w:rsidR="00F63885" w:rsidRPr="000834B8">
        <w:rPr>
          <w:sz w:val="22"/>
          <w:szCs w:val="22"/>
        </w:rPr>
        <w:t xml:space="preserve">now </w:t>
      </w:r>
      <w:r w:rsidR="00AE41E0" w:rsidRPr="000834B8">
        <w:rPr>
          <w:sz w:val="22"/>
          <w:szCs w:val="22"/>
        </w:rPr>
        <w:t xml:space="preserve">added a sentence in the main text to make this </w:t>
      </w:r>
      <w:r w:rsidR="00F63885" w:rsidRPr="000834B8">
        <w:rPr>
          <w:sz w:val="22"/>
          <w:szCs w:val="22"/>
        </w:rPr>
        <w:t>dependence clear to the reader</w:t>
      </w:r>
      <w:r w:rsidR="00AE41E0" w:rsidRPr="000834B8">
        <w:rPr>
          <w:sz w:val="22"/>
          <w:szCs w:val="22"/>
        </w:rPr>
        <w:t>.</w:t>
      </w:r>
    </w:p>
    <w:p w14:paraId="786870DF" w14:textId="77777777" w:rsidR="006C3199" w:rsidRPr="000834B8" w:rsidRDefault="006C3199" w:rsidP="00ED0665">
      <w:pPr>
        <w:rPr>
          <w:sz w:val="22"/>
          <w:szCs w:val="22"/>
        </w:rPr>
      </w:pPr>
    </w:p>
    <w:p w14:paraId="7D0F044B" w14:textId="77777777" w:rsidR="006C3199" w:rsidRPr="000834B8" w:rsidRDefault="006C3199" w:rsidP="006C3199">
      <w:pPr>
        <w:rPr>
          <w:color w:val="FF0000"/>
          <w:sz w:val="22"/>
          <w:szCs w:val="22"/>
        </w:rPr>
      </w:pPr>
      <w:r w:rsidRPr="000834B8">
        <w:rPr>
          <w:color w:val="FF0000"/>
          <w:sz w:val="22"/>
          <w:szCs w:val="22"/>
        </w:rPr>
        <w:t>Changes made:</w:t>
      </w:r>
    </w:p>
    <w:p w14:paraId="44249A39" w14:textId="6B2CD5E1" w:rsidR="006C3199" w:rsidRPr="000834B8" w:rsidRDefault="006C3199" w:rsidP="006C3199">
      <w:pPr>
        <w:rPr>
          <w:color w:val="FF0000"/>
          <w:sz w:val="22"/>
          <w:szCs w:val="22"/>
        </w:rPr>
      </w:pPr>
      <w:r w:rsidRPr="000834B8">
        <w:rPr>
          <w:color w:val="FF0000"/>
          <w:sz w:val="22"/>
          <w:szCs w:val="22"/>
        </w:rPr>
        <w:t xml:space="preserve">On page 5: </w:t>
      </w:r>
    </w:p>
    <w:p w14:paraId="4B3D429D" w14:textId="50C0EBDF" w:rsidR="006C3199" w:rsidRPr="000834B8" w:rsidRDefault="006C3199" w:rsidP="006C3199">
      <w:pPr>
        <w:rPr>
          <w:i/>
          <w:color w:val="FF0000"/>
          <w:sz w:val="22"/>
          <w:szCs w:val="22"/>
        </w:rPr>
      </w:pPr>
      <w:r w:rsidRPr="000834B8">
        <w:rPr>
          <w:color w:val="FF0000"/>
          <w:sz w:val="22"/>
          <w:szCs w:val="22"/>
        </w:rPr>
        <w:t xml:space="preserve">Added after </w:t>
      </w:r>
      <w:r w:rsidR="00B210AD" w:rsidRPr="000834B8">
        <w:rPr>
          <w:i/>
          <w:color w:val="FF0000"/>
          <w:sz w:val="22"/>
          <w:szCs w:val="22"/>
        </w:rPr>
        <w:t>[</w:t>
      </w:r>
      <w:r w:rsidRPr="000834B8">
        <w:rPr>
          <w:i/>
          <w:color w:val="FF0000"/>
          <w:sz w:val="22"/>
          <w:szCs w:val="22"/>
        </w:rPr>
        <w:t xml:space="preserve">…by a factor </w:t>
      </w:r>
      <w:r w:rsidRPr="000834B8">
        <w:rPr>
          <w:i/>
          <w:color w:val="FF0000"/>
          <w:sz w:val="22"/>
          <w:szCs w:val="22"/>
          <w:lang w:val="el-GR"/>
        </w:rPr>
        <w:t>ξ</w:t>
      </w:r>
      <w:r w:rsidRPr="000834B8">
        <w:rPr>
          <w:i/>
          <w:color w:val="FF0000"/>
          <w:sz w:val="22"/>
          <w:szCs w:val="22"/>
        </w:rPr>
        <w:t>(E) beyond that expected for free electrons and holes (</w:t>
      </w:r>
      <w:r w:rsidRPr="000834B8">
        <w:rPr>
          <w:i/>
          <w:color w:val="FF0000"/>
          <w:sz w:val="22"/>
          <w:szCs w:val="22"/>
          <w:lang w:val="el-GR"/>
        </w:rPr>
        <w:t>α</w:t>
      </w:r>
      <w:r w:rsidRPr="000834B8">
        <w:rPr>
          <w:i/>
          <w:color w:val="FF0000"/>
          <w:sz w:val="22"/>
          <w:szCs w:val="22"/>
          <w:vertAlign w:val="subscript"/>
        </w:rPr>
        <w:t>C</w:t>
      </w:r>
      <w:r w:rsidRPr="000834B8">
        <w:rPr>
          <w:i/>
          <w:color w:val="FF0000"/>
          <w:sz w:val="22"/>
          <w:szCs w:val="22"/>
        </w:rPr>
        <w:t>(E), red dashed line).</w:t>
      </w:r>
      <w:r w:rsidR="00B210AD" w:rsidRPr="000834B8">
        <w:rPr>
          <w:i/>
          <w:color w:val="FF0000"/>
          <w:sz w:val="22"/>
          <w:szCs w:val="22"/>
        </w:rPr>
        <w:t>]</w:t>
      </w:r>
    </w:p>
    <w:p w14:paraId="220D4D57" w14:textId="61DA5789" w:rsidR="00E4316B" w:rsidRPr="000834B8" w:rsidRDefault="00B210AD" w:rsidP="00ED0665">
      <w:pPr>
        <w:rPr>
          <w:color w:val="FF0000"/>
          <w:sz w:val="22"/>
          <w:szCs w:val="22"/>
        </w:rPr>
      </w:pPr>
      <w:r w:rsidRPr="000834B8">
        <w:rPr>
          <w:color w:val="FF0000"/>
          <w:sz w:val="22"/>
          <w:szCs w:val="22"/>
          <w:lang w:val="el-GR"/>
        </w:rPr>
        <w:t>ξ</w:t>
      </w:r>
      <w:r w:rsidRPr="000834B8">
        <w:rPr>
          <w:color w:val="FF0000"/>
          <w:sz w:val="22"/>
          <w:szCs w:val="22"/>
        </w:rPr>
        <w:t xml:space="preserve">(E) is the Coulomb enhancement factor </w:t>
      </w:r>
      <w:r w:rsidR="00F63885" w:rsidRPr="000834B8">
        <w:rPr>
          <w:color w:val="FF0000"/>
          <w:sz w:val="22"/>
          <w:szCs w:val="22"/>
        </w:rPr>
        <w:t>derived from</w:t>
      </w:r>
      <w:r w:rsidRPr="000834B8">
        <w:rPr>
          <w:color w:val="FF0000"/>
          <w:sz w:val="22"/>
          <w:szCs w:val="22"/>
        </w:rPr>
        <w:t xml:space="preserve"> </w:t>
      </w:r>
      <w:r w:rsidR="00F63885" w:rsidRPr="000834B8">
        <w:rPr>
          <w:color w:val="FF0000"/>
          <w:sz w:val="22"/>
          <w:szCs w:val="22"/>
        </w:rPr>
        <w:t xml:space="preserve">the </w:t>
      </w:r>
      <w:r w:rsidRPr="000834B8">
        <w:rPr>
          <w:color w:val="FF0000"/>
          <w:sz w:val="22"/>
          <w:szCs w:val="22"/>
        </w:rPr>
        <w:t xml:space="preserve">values of the band gap and binding energy </w:t>
      </w:r>
      <w:r w:rsidR="00126917" w:rsidRPr="000834B8">
        <w:rPr>
          <w:color w:val="FF0000"/>
          <w:sz w:val="22"/>
          <w:szCs w:val="22"/>
        </w:rPr>
        <w:t xml:space="preserve">(see Equation 10 in the Supplementary Information) and </w:t>
      </w:r>
      <w:r w:rsidR="00F63885" w:rsidRPr="000834B8">
        <w:rPr>
          <w:color w:val="FF0000"/>
          <w:sz w:val="22"/>
          <w:szCs w:val="22"/>
        </w:rPr>
        <w:t xml:space="preserve">is therefore </w:t>
      </w:r>
      <w:r w:rsidR="00126917" w:rsidRPr="000834B8">
        <w:rPr>
          <w:color w:val="FF0000"/>
          <w:sz w:val="22"/>
          <w:szCs w:val="22"/>
        </w:rPr>
        <w:t xml:space="preserve">not a free </w:t>
      </w:r>
      <w:r w:rsidR="00F63885" w:rsidRPr="000834B8">
        <w:rPr>
          <w:color w:val="FF0000"/>
          <w:sz w:val="22"/>
          <w:szCs w:val="22"/>
        </w:rPr>
        <w:t xml:space="preserve">(independent) </w:t>
      </w:r>
      <w:r w:rsidR="00126917" w:rsidRPr="000834B8">
        <w:rPr>
          <w:color w:val="FF0000"/>
          <w:sz w:val="22"/>
          <w:szCs w:val="22"/>
        </w:rPr>
        <w:t xml:space="preserve">parameter of the </w:t>
      </w:r>
      <w:r w:rsidR="007A2727" w:rsidRPr="000834B8">
        <w:rPr>
          <w:color w:val="FF0000"/>
          <w:sz w:val="22"/>
          <w:szCs w:val="22"/>
        </w:rPr>
        <w:t>model.</w:t>
      </w:r>
    </w:p>
    <w:p w14:paraId="1956DB05" w14:textId="77777777" w:rsidR="00126917" w:rsidRPr="000834B8" w:rsidRDefault="00126917" w:rsidP="00ED0665">
      <w:pPr>
        <w:rPr>
          <w:sz w:val="22"/>
          <w:szCs w:val="22"/>
        </w:rPr>
      </w:pPr>
    </w:p>
    <w:p w14:paraId="4E2CC710" w14:textId="25C99283" w:rsidR="00727498" w:rsidRPr="000834B8" w:rsidRDefault="00067B07" w:rsidP="00ED0665">
      <w:pPr>
        <w:rPr>
          <w:sz w:val="22"/>
          <w:szCs w:val="22"/>
        </w:rPr>
      </w:pPr>
      <w:r w:rsidRPr="000834B8">
        <w:rPr>
          <w:sz w:val="22"/>
          <w:szCs w:val="22"/>
        </w:rPr>
        <w:t xml:space="preserve">Regarding the novelty of our work, we </w:t>
      </w:r>
      <w:proofErr w:type="spellStart"/>
      <w:r w:rsidR="00083E9F" w:rsidRPr="000834B8">
        <w:rPr>
          <w:sz w:val="22"/>
          <w:szCs w:val="22"/>
        </w:rPr>
        <w:t>emphasise</w:t>
      </w:r>
      <w:proofErr w:type="spellEnd"/>
      <w:r w:rsidRPr="000834B8">
        <w:rPr>
          <w:sz w:val="22"/>
          <w:szCs w:val="22"/>
        </w:rPr>
        <w:t xml:space="preserve"> that this is the first study to </w:t>
      </w:r>
      <w:r w:rsidR="0006720A" w:rsidRPr="000834B8">
        <w:rPr>
          <w:sz w:val="22"/>
          <w:szCs w:val="22"/>
        </w:rPr>
        <w:t>prove</w:t>
      </w:r>
      <w:r w:rsidRPr="000834B8">
        <w:rPr>
          <w:sz w:val="22"/>
          <w:szCs w:val="22"/>
        </w:rPr>
        <w:t xml:space="preserve"> that bimolecular recombination in the hybrid perovskite is the reverse process of absorption, as </w:t>
      </w:r>
      <w:r w:rsidR="0006720A" w:rsidRPr="000834B8">
        <w:rPr>
          <w:sz w:val="22"/>
          <w:szCs w:val="22"/>
        </w:rPr>
        <w:t>described by the van-</w:t>
      </w:r>
      <w:proofErr w:type="spellStart"/>
      <w:r w:rsidR="0006720A" w:rsidRPr="000834B8">
        <w:rPr>
          <w:sz w:val="22"/>
          <w:szCs w:val="22"/>
        </w:rPr>
        <w:t>Roosboeck</w:t>
      </w:r>
      <w:proofErr w:type="spellEnd"/>
      <w:r w:rsidR="0006720A" w:rsidRPr="000834B8">
        <w:rPr>
          <w:sz w:val="22"/>
          <w:szCs w:val="22"/>
        </w:rPr>
        <w:t xml:space="preserve"> and Shockley relation. </w:t>
      </w:r>
      <w:r w:rsidR="00727498" w:rsidRPr="000834B8">
        <w:rPr>
          <w:sz w:val="22"/>
          <w:szCs w:val="22"/>
        </w:rPr>
        <w:t xml:space="preserve">The field of hybrid perovskites has unfortunately been inundated with unusual and mostly quantitatively unverified alternative mechanisms for bimolecular recombination. Our work is able to strongly refute these and will therefore help to conclude this discourse in the literature. Referee 1 broadly agrees with our arguments here, pointing out that we </w:t>
      </w:r>
      <w:r w:rsidR="00727498" w:rsidRPr="000834B8">
        <w:rPr>
          <w:i/>
          <w:sz w:val="22"/>
          <w:szCs w:val="22"/>
        </w:rPr>
        <w:t>“are largely successful and argue for an elegant and simple solution to a process for which other authors have invoked some rather exotic physical phenomena. I find the arguments largely compelling and am certain they will be of significant interest to the community.”</w:t>
      </w:r>
      <w:r w:rsidR="00727498" w:rsidRPr="000834B8">
        <w:rPr>
          <w:sz w:val="22"/>
          <w:szCs w:val="22"/>
        </w:rPr>
        <w:t xml:space="preserve">.  </w:t>
      </w:r>
      <w:r w:rsidR="00C0662A">
        <w:rPr>
          <w:sz w:val="22"/>
          <w:szCs w:val="22"/>
        </w:rPr>
        <w:t>Our</w:t>
      </w:r>
      <w:r w:rsidR="00727498" w:rsidRPr="000834B8">
        <w:rPr>
          <w:sz w:val="22"/>
          <w:szCs w:val="22"/>
        </w:rPr>
        <w:t xml:space="preserve"> article offers definitive evidence of the relation between absorption and bimolecular recombination, and details the physical significance of this relation in the context of future device fabrication.  By performing a temperature dependent study, we are able to reveal an unambiguous and quantitative proof for the mechanism of bimolecular charge-carrier recombination, which has been elusive in the literature to this present point.</w:t>
      </w:r>
    </w:p>
    <w:p w14:paraId="7987E32E" w14:textId="77777777" w:rsidR="0006720A" w:rsidRPr="000834B8" w:rsidRDefault="0006720A" w:rsidP="00ED0665">
      <w:pPr>
        <w:rPr>
          <w:sz w:val="22"/>
          <w:szCs w:val="22"/>
        </w:rPr>
      </w:pPr>
    </w:p>
    <w:p w14:paraId="735CBF98" w14:textId="6AB216D8" w:rsidR="00E4316B" w:rsidRPr="000834B8" w:rsidRDefault="00CD44B8" w:rsidP="00ED0665">
      <w:pPr>
        <w:rPr>
          <w:sz w:val="22"/>
          <w:szCs w:val="22"/>
        </w:rPr>
      </w:pPr>
      <w:r w:rsidRPr="000834B8">
        <w:rPr>
          <w:sz w:val="22"/>
          <w:szCs w:val="22"/>
        </w:rPr>
        <w:t xml:space="preserve">The referee is </w:t>
      </w:r>
      <w:r w:rsidR="00727498" w:rsidRPr="000834B8">
        <w:rPr>
          <w:sz w:val="22"/>
          <w:szCs w:val="22"/>
        </w:rPr>
        <w:t xml:space="preserve">of course </w:t>
      </w:r>
      <w:r w:rsidRPr="000834B8">
        <w:rPr>
          <w:sz w:val="22"/>
          <w:szCs w:val="22"/>
        </w:rPr>
        <w:t xml:space="preserve">correct </w:t>
      </w:r>
      <w:r w:rsidR="00727498" w:rsidRPr="000834B8">
        <w:rPr>
          <w:sz w:val="22"/>
          <w:szCs w:val="22"/>
        </w:rPr>
        <w:t xml:space="preserve">in stating </w:t>
      </w:r>
      <w:r w:rsidRPr="000834B8">
        <w:rPr>
          <w:sz w:val="22"/>
          <w:szCs w:val="22"/>
        </w:rPr>
        <w:t>that Elliott’s theory ha</w:t>
      </w:r>
      <w:r w:rsidR="00727498" w:rsidRPr="000834B8">
        <w:rPr>
          <w:sz w:val="22"/>
          <w:szCs w:val="22"/>
        </w:rPr>
        <w:t>d</w:t>
      </w:r>
      <w:r w:rsidRPr="000834B8">
        <w:rPr>
          <w:sz w:val="22"/>
          <w:szCs w:val="22"/>
        </w:rPr>
        <w:t xml:space="preserve"> previously been used</w:t>
      </w:r>
      <w:r w:rsidR="007B568D" w:rsidRPr="000834B8">
        <w:rPr>
          <w:sz w:val="22"/>
          <w:szCs w:val="22"/>
        </w:rPr>
        <w:t xml:space="preserve"> to model absorption spectra</w:t>
      </w:r>
      <w:r w:rsidRPr="000834B8">
        <w:rPr>
          <w:sz w:val="22"/>
          <w:szCs w:val="22"/>
        </w:rPr>
        <w:t xml:space="preserve"> </w:t>
      </w:r>
      <w:r w:rsidR="00727498" w:rsidRPr="000834B8">
        <w:rPr>
          <w:sz w:val="22"/>
          <w:szCs w:val="22"/>
        </w:rPr>
        <w:t xml:space="preserve">of hybrid perovskites, </w:t>
      </w:r>
      <w:r w:rsidRPr="000834B8">
        <w:rPr>
          <w:sz w:val="22"/>
          <w:szCs w:val="22"/>
        </w:rPr>
        <w:t xml:space="preserve">as we had </w:t>
      </w:r>
      <w:r w:rsidR="00727498" w:rsidRPr="000834B8">
        <w:rPr>
          <w:sz w:val="22"/>
          <w:szCs w:val="22"/>
        </w:rPr>
        <w:t>ourselves pointed out</w:t>
      </w:r>
      <w:r w:rsidRPr="000834B8">
        <w:rPr>
          <w:sz w:val="22"/>
          <w:szCs w:val="22"/>
        </w:rPr>
        <w:t xml:space="preserve"> in the main text</w:t>
      </w:r>
      <w:r w:rsidR="00727498" w:rsidRPr="000834B8">
        <w:rPr>
          <w:sz w:val="22"/>
          <w:szCs w:val="22"/>
        </w:rPr>
        <w:t>.</w:t>
      </w:r>
      <w:r w:rsidRPr="000834B8">
        <w:rPr>
          <w:sz w:val="22"/>
          <w:szCs w:val="22"/>
        </w:rPr>
        <w:t xml:space="preserve"> </w:t>
      </w:r>
      <w:r w:rsidR="00727498" w:rsidRPr="000834B8">
        <w:rPr>
          <w:sz w:val="22"/>
          <w:szCs w:val="22"/>
        </w:rPr>
        <w:t>H</w:t>
      </w:r>
      <w:r w:rsidRPr="000834B8">
        <w:rPr>
          <w:sz w:val="22"/>
          <w:szCs w:val="22"/>
        </w:rPr>
        <w:t>owever</w:t>
      </w:r>
      <w:r w:rsidR="0038684F" w:rsidRPr="000834B8">
        <w:rPr>
          <w:sz w:val="22"/>
          <w:szCs w:val="22"/>
        </w:rPr>
        <w:t>,</w:t>
      </w:r>
      <w:r w:rsidRPr="000834B8">
        <w:rPr>
          <w:sz w:val="22"/>
          <w:szCs w:val="22"/>
        </w:rPr>
        <w:t xml:space="preserve"> </w:t>
      </w:r>
      <w:r w:rsidR="00727498" w:rsidRPr="000834B8">
        <w:rPr>
          <w:sz w:val="22"/>
          <w:szCs w:val="22"/>
        </w:rPr>
        <w:t>previous studies had found (as we did here) that there was a deviation between Elliott’s theory and the shape of the experimental absorption spectrum from ~200meV above the band edge. The reasons for such</w:t>
      </w:r>
      <w:r w:rsidRPr="000834B8">
        <w:rPr>
          <w:sz w:val="22"/>
          <w:szCs w:val="22"/>
        </w:rPr>
        <w:t xml:space="preserve"> deviations w</w:t>
      </w:r>
      <w:r w:rsidR="00727498" w:rsidRPr="000834B8">
        <w:rPr>
          <w:sz w:val="22"/>
          <w:szCs w:val="22"/>
        </w:rPr>
        <w:t>ere</w:t>
      </w:r>
      <w:r w:rsidRPr="000834B8">
        <w:rPr>
          <w:sz w:val="22"/>
          <w:szCs w:val="22"/>
        </w:rPr>
        <w:t xml:space="preserve"> not understood</w:t>
      </w:r>
      <w:r w:rsidR="00727498" w:rsidRPr="000834B8">
        <w:rPr>
          <w:sz w:val="22"/>
          <w:szCs w:val="22"/>
        </w:rPr>
        <w:t>, and therefore it was unclear if such a model could in fact be used to unravel the different contributions to the absorption in the way that is required to utilize the van-</w:t>
      </w:r>
      <w:proofErr w:type="spellStart"/>
      <w:r w:rsidR="00727498" w:rsidRPr="000834B8">
        <w:rPr>
          <w:sz w:val="22"/>
          <w:szCs w:val="22"/>
        </w:rPr>
        <w:t>Roosbroeck</w:t>
      </w:r>
      <w:proofErr w:type="spellEnd"/>
      <w:r w:rsidR="00727498" w:rsidRPr="000834B8">
        <w:rPr>
          <w:sz w:val="22"/>
          <w:szCs w:val="22"/>
        </w:rPr>
        <w:t xml:space="preserve"> and Shockley relation.</w:t>
      </w:r>
      <w:r w:rsidRPr="000834B8">
        <w:rPr>
          <w:sz w:val="22"/>
          <w:szCs w:val="22"/>
        </w:rPr>
        <w:t xml:space="preserve"> </w:t>
      </w:r>
      <w:r w:rsidR="005C4B79" w:rsidRPr="000834B8">
        <w:rPr>
          <w:sz w:val="22"/>
          <w:szCs w:val="22"/>
        </w:rPr>
        <w:t xml:space="preserve">By considering all the model assumptions of the theory (parabolic bands, only one conduction and valence band, constant electric-dipole moment) and using first principle calculations we were able to </w:t>
      </w:r>
      <w:r w:rsidR="00727498" w:rsidRPr="000834B8">
        <w:rPr>
          <w:sz w:val="22"/>
          <w:szCs w:val="22"/>
        </w:rPr>
        <w:t>explain these discrepancies.</w:t>
      </w:r>
      <w:r w:rsidR="005C4B79" w:rsidRPr="000834B8">
        <w:rPr>
          <w:sz w:val="22"/>
          <w:szCs w:val="22"/>
        </w:rPr>
        <w:t xml:space="preserve">  </w:t>
      </w:r>
      <w:r w:rsidRPr="000834B8">
        <w:rPr>
          <w:sz w:val="22"/>
          <w:szCs w:val="22"/>
        </w:rPr>
        <w:t>Other groups had introduced non-</w:t>
      </w:r>
      <w:proofErr w:type="spellStart"/>
      <w:r w:rsidRPr="000834B8">
        <w:rPr>
          <w:sz w:val="22"/>
          <w:szCs w:val="22"/>
        </w:rPr>
        <w:t>parabolicity</w:t>
      </w:r>
      <w:proofErr w:type="spellEnd"/>
      <w:r w:rsidRPr="000834B8">
        <w:rPr>
          <w:sz w:val="22"/>
          <w:szCs w:val="22"/>
        </w:rPr>
        <w:t xml:space="preserve"> at the </w:t>
      </w:r>
      <w:r w:rsidR="00D7610F" w:rsidRPr="000834B8">
        <w:rPr>
          <w:sz w:val="22"/>
          <w:szCs w:val="22"/>
        </w:rPr>
        <w:t xml:space="preserve">band edge however our calculations show that this cannot be the case.  </w:t>
      </w:r>
      <w:r w:rsidR="00EA11A9" w:rsidRPr="000834B8">
        <w:rPr>
          <w:sz w:val="22"/>
          <w:szCs w:val="22"/>
        </w:rPr>
        <w:t>Also,</w:t>
      </w:r>
      <w:r w:rsidR="00D7610F" w:rsidRPr="000834B8">
        <w:rPr>
          <w:sz w:val="22"/>
          <w:szCs w:val="22"/>
        </w:rPr>
        <w:t xml:space="preserve"> efforts to introduce non-</w:t>
      </w:r>
      <w:proofErr w:type="spellStart"/>
      <w:r w:rsidR="00D7610F" w:rsidRPr="000834B8">
        <w:rPr>
          <w:sz w:val="22"/>
          <w:szCs w:val="22"/>
        </w:rPr>
        <w:t>parabolicity</w:t>
      </w:r>
      <w:proofErr w:type="spellEnd"/>
      <w:r w:rsidR="00D7610F" w:rsidRPr="000834B8">
        <w:rPr>
          <w:sz w:val="22"/>
          <w:szCs w:val="22"/>
        </w:rPr>
        <w:t xml:space="preserve"> to </w:t>
      </w:r>
      <w:r w:rsidR="005350B6" w:rsidRPr="000834B8">
        <w:rPr>
          <w:sz w:val="22"/>
          <w:szCs w:val="22"/>
        </w:rPr>
        <w:t xml:space="preserve">Elliott’s </w:t>
      </w:r>
      <w:r w:rsidR="00D7610F" w:rsidRPr="000834B8">
        <w:rPr>
          <w:sz w:val="22"/>
          <w:szCs w:val="22"/>
        </w:rPr>
        <w:t xml:space="preserve">theory had failed to realize that the </w:t>
      </w:r>
      <w:proofErr w:type="spellStart"/>
      <w:r w:rsidR="004D1902" w:rsidRPr="000834B8">
        <w:rPr>
          <w:sz w:val="22"/>
          <w:szCs w:val="22"/>
        </w:rPr>
        <w:t>excitonic</w:t>
      </w:r>
      <w:proofErr w:type="spellEnd"/>
      <w:r w:rsidR="004D1902" w:rsidRPr="000834B8">
        <w:rPr>
          <w:sz w:val="22"/>
          <w:szCs w:val="22"/>
        </w:rPr>
        <w:t xml:space="preserve"> </w:t>
      </w:r>
      <w:proofErr w:type="spellStart"/>
      <w:r w:rsidR="00D7610F" w:rsidRPr="000834B8">
        <w:rPr>
          <w:sz w:val="22"/>
          <w:szCs w:val="22"/>
        </w:rPr>
        <w:t>wavefunction</w:t>
      </w:r>
      <w:proofErr w:type="spellEnd"/>
      <w:r w:rsidR="00D7610F" w:rsidRPr="000834B8">
        <w:rPr>
          <w:sz w:val="22"/>
          <w:szCs w:val="22"/>
        </w:rPr>
        <w:t xml:space="preserve"> solutions to the Schrodinger equation</w:t>
      </w:r>
      <w:r w:rsidR="00CC2E29" w:rsidRPr="000834B8">
        <w:rPr>
          <w:sz w:val="22"/>
          <w:szCs w:val="22"/>
        </w:rPr>
        <w:t>,</w:t>
      </w:r>
      <w:r w:rsidR="00D7610F" w:rsidRPr="000834B8">
        <w:rPr>
          <w:sz w:val="22"/>
          <w:szCs w:val="22"/>
        </w:rPr>
        <w:t xml:space="preserve"> </w:t>
      </w:r>
      <w:r w:rsidR="004D1902" w:rsidRPr="000834B8">
        <w:rPr>
          <w:sz w:val="22"/>
          <w:szCs w:val="22"/>
        </w:rPr>
        <w:t xml:space="preserve">critical to </w:t>
      </w:r>
      <w:r w:rsidR="00D7610F" w:rsidRPr="000834B8">
        <w:rPr>
          <w:sz w:val="22"/>
          <w:szCs w:val="22"/>
        </w:rPr>
        <w:t>Elliott’s theory</w:t>
      </w:r>
      <w:r w:rsidR="00CC2E29" w:rsidRPr="000834B8">
        <w:rPr>
          <w:sz w:val="22"/>
          <w:szCs w:val="22"/>
        </w:rPr>
        <w:t>,</w:t>
      </w:r>
      <w:r w:rsidR="00D7610F" w:rsidRPr="000834B8">
        <w:rPr>
          <w:sz w:val="22"/>
          <w:szCs w:val="22"/>
        </w:rPr>
        <w:t xml:space="preserve"> would also need to be recalculated and therefore a simple modification to the final result of Elliott’s theory </w:t>
      </w:r>
      <w:r w:rsidR="00727498" w:rsidRPr="000834B8">
        <w:rPr>
          <w:sz w:val="22"/>
          <w:szCs w:val="22"/>
        </w:rPr>
        <w:t>would have been</w:t>
      </w:r>
      <w:r w:rsidR="00D7610F" w:rsidRPr="000834B8">
        <w:rPr>
          <w:sz w:val="22"/>
          <w:szCs w:val="22"/>
        </w:rPr>
        <w:t xml:space="preserve"> completely invalid</w:t>
      </w:r>
      <w:r w:rsidR="005350B6" w:rsidRPr="000834B8">
        <w:rPr>
          <w:sz w:val="22"/>
          <w:szCs w:val="22"/>
        </w:rPr>
        <w:t xml:space="preserve"> and result</w:t>
      </w:r>
      <w:r w:rsidR="00727498" w:rsidRPr="000834B8">
        <w:rPr>
          <w:sz w:val="22"/>
          <w:szCs w:val="22"/>
        </w:rPr>
        <w:t>ed</w:t>
      </w:r>
      <w:r w:rsidR="005350B6" w:rsidRPr="000834B8">
        <w:rPr>
          <w:sz w:val="22"/>
          <w:szCs w:val="22"/>
        </w:rPr>
        <w:t xml:space="preserve"> in </w:t>
      </w:r>
      <w:r w:rsidR="009A5868" w:rsidRPr="000834B8">
        <w:rPr>
          <w:sz w:val="22"/>
          <w:szCs w:val="22"/>
        </w:rPr>
        <w:t>in</w:t>
      </w:r>
      <w:r w:rsidR="00E4750D" w:rsidRPr="000834B8">
        <w:rPr>
          <w:sz w:val="22"/>
          <w:szCs w:val="22"/>
        </w:rPr>
        <w:t>accurate</w:t>
      </w:r>
      <w:r w:rsidR="005350B6" w:rsidRPr="000834B8">
        <w:rPr>
          <w:sz w:val="22"/>
          <w:szCs w:val="22"/>
        </w:rPr>
        <w:t xml:space="preserve"> analysis</w:t>
      </w:r>
      <w:r w:rsidR="00D7610F" w:rsidRPr="000834B8">
        <w:rPr>
          <w:sz w:val="22"/>
          <w:szCs w:val="22"/>
        </w:rPr>
        <w:t>.</w:t>
      </w:r>
      <w:r w:rsidR="00727498" w:rsidRPr="000834B8">
        <w:rPr>
          <w:sz w:val="22"/>
          <w:szCs w:val="22"/>
        </w:rPr>
        <w:t xml:space="preserve"> Therefore, our analysis was a crucial precursor allowing us to conduct the derivation of the bimolecular recombination rate constant from the absorption spectra.</w:t>
      </w:r>
    </w:p>
    <w:p w14:paraId="013315E5" w14:textId="77777777" w:rsidR="00A64D0D" w:rsidRPr="000834B8" w:rsidRDefault="00A64D0D" w:rsidP="00ED0665">
      <w:pPr>
        <w:rPr>
          <w:sz w:val="22"/>
          <w:szCs w:val="22"/>
        </w:rPr>
      </w:pPr>
    </w:p>
    <w:p w14:paraId="68BFDE18" w14:textId="4106600A" w:rsidR="00023100" w:rsidRPr="000834B8" w:rsidRDefault="00023100" w:rsidP="00ED0665">
      <w:pPr>
        <w:rPr>
          <w:sz w:val="22"/>
          <w:szCs w:val="22"/>
        </w:rPr>
      </w:pPr>
      <w:r w:rsidRPr="000834B8">
        <w:rPr>
          <w:sz w:val="22"/>
          <w:szCs w:val="22"/>
        </w:rPr>
        <w:t xml:space="preserve">The referee </w:t>
      </w:r>
      <w:r w:rsidR="00415CEE" w:rsidRPr="000834B8">
        <w:rPr>
          <w:sz w:val="22"/>
          <w:szCs w:val="22"/>
        </w:rPr>
        <w:t xml:space="preserve">is </w:t>
      </w:r>
      <w:r w:rsidR="00727498" w:rsidRPr="000834B8">
        <w:rPr>
          <w:sz w:val="22"/>
          <w:szCs w:val="22"/>
        </w:rPr>
        <w:t xml:space="preserve">also </w:t>
      </w:r>
      <w:proofErr w:type="gramStart"/>
      <w:r w:rsidR="00415CEE" w:rsidRPr="000834B8">
        <w:rPr>
          <w:sz w:val="22"/>
          <w:szCs w:val="22"/>
        </w:rPr>
        <w:t>correct</w:t>
      </w:r>
      <w:proofErr w:type="gramEnd"/>
      <w:r w:rsidR="00415CEE" w:rsidRPr="000834B8">
        <w:rPr>
          <w:sz w:val="22"/>
          <w:szCs w:val="22"/>
        </w:rPr>
        <w:t xml:space="preserve"> </w:t>
      </w:r>
      <w:r w:rsidR="00727498" w:rsidRPr="000834B8">
        <w:rPr>
          <w:sz w:val="22"/>
          <w:szCs w:val="22"/>
        </w:rPr>
        <w:t>in</w:t>
      </w:r>
      <w:r w:rsidR="00415CEE" w:rsidRPr="000834B8">
        <w:rPr>
          <w:sz w:val="22"/>
          <w:szCs w:val="22"/>
        </w:rPr>
        <w:t xml:space="preserve"> acknowledg</w:t>
      </w:r>
      <w:r w:rsidR="00727498" w:rsidRPr="000834B8">
        <w:rPr>
          <w:sz w:val="22"/>
          <w:szCs w:val="22"/>
        </w:rPr>
        <w:t>ing that</w:t>
      </w:r>
      <w:r w:rsidR="00415CEE" w:rsidRPr="000834B8">
        <w:rPr>
          <w:sz w:val="22"/>
          <w:szCs w:val="22"/>
        </w:rPr>
        <w:t xml:space="preserve"> a </w:t>
      </w:r>
      <w:r w:rsidR="00A45607" w:rsidRPr="000834B8">
        <w:rPr>
          <w:sz w:val="22"/>
          <w:szCs w:val="22"/>
        </w:rPr>
        <w:t xml:space="preserve">study </w:t>
      </w:r>
      <w:r w:rsidR="00415CEE" w:rsidRPr="000834B8">
        <w:rPr>
          <w:sz w:val="22"/>
          <w:szCs w:val="22"/>
        </w:rPr>
        <w:t xml:space="preserve">we had cited </w:t>
      </w:r>
      <w:r w:rsidR="00727498" w:rsidRPr="000834B8">
        <w:rPr>
          <w:sz w:val="22"/>
          <w:szCs w:val="22"/>
        </w:rPr>
        <w:t>had attempted to calculate the</w:t>
      </w:r>
      <w:r w:rsidR="00415CEE" w:rsidRPr="000834B8">
        <w:rPr>
          <w:sz w:val="22"/>
          <w:szCs w:val="22"/>
        </w:rPr>
        <w:t xml:space="preserve"> bimolecular recombination rate constant</w:t>
      </w:r>
      <w:r w:rsidR="00727498" w:rsidRPr="000834B8">
        <w:rPr>
          <w:sz w:val="22"/>
          <w:szCs w:val="22"/>
        </w:rPr>
        <w:t xml:space="preserve"> from an absorption </w:t>
      </w:r>
      <w:r w:rsidR="000C4ECF" w:rsidRPr="000834B8">
        <w:rPr>
          <w:sz w:val="22"/>
          <w:szCs w:val="22"/>
        </w:rPr>
        <w:t>coefficient</w:t>
      </w:r>
      <w:r w:rsidR="00415CEE" w:rsidRPr="000834B8">
        <w:rPr>
          <w:sz w:val="22"/>
          <w:szCs w:val="22"/>
        </w:rPr>
        <w:t xml:space="preserve">, </w:t>
      </w:r>
      <w:r w:rsidR="00727498" w:rsidRPr="000834B8">
        <w:rPr>
          <w:sz w:val="22"/>
          <w:szCs w:val="22"/>
        </w:rPr>
        <w:t xml:space="preserve">however </w:t>
      </w:r>
      <w:r w:rsidR="00415CEE" w:rsidRPr="000834B8">
        <w:rPr>
          <w:sz w:val="22"/>
          <w:szCs w:val="22"/>
        </w:rPr>
        <w:t xml:space="preserve">this work was purely theoretical and utilized </w:t>
      </w:r>
      <w:r w:rsidR="00A45607" w:rsidRPr="000834B8">
        <w:rPr>
          <w:sz w:val="22"/>
          <w:szCs w:val="22"/>
        </w:rPr>
        <w:t>an</w:t>
      </w:r>
      <w:r w:rsidR="00415CEE" w:rsidRPr="000834B8">
        <w:rPr>
          <w:sz w:val="22"/>
          <w:szCs w:val="22"/>
        </w:rPr>
        <w:t xml:space="preserve"> absorption spectrum </w:t>
      </w:r>
      <w:r w:rsidR="00575CB6" w:rsidRPr="000834B8">
        <w:rPr>
          <w:sz w:val="22"/>
          <w:szCs w:val="22"/>
        </w:rPr>
        <w:t xml:space="preserve">at a single temperature fully </w:t>
      </w:r>
      <w:r w:rsidR="00415CEE" w:rsidRPr="000834B8">
        <w:rPr>
          <w:sz w:val="22"/>
          <w:szCs w:val="22"/>
        </w:rPr>
        <w:t xml:space="preserve">calculated from DFT.  </w:t>
      </w:r>
      <w:r w:rsidR="00575CB6" w:rsidRPr="000834B8">
        <w:rPr>
          <w:sz w:val="22"/>
          <w:szCs w:val="22"/>
        </w:rPr>
        <w:t>A</w:t>
      </w:r>
      <w:r w:rsidR="00A45607" w:rsidRPr="000834B8">
        <w:rPr>
          <w:sz w:val="22"/>
          <w:szCs w:val="22"/>
        </w:rPr>
        <w:t>s the referee can see from our text below, the theoretical absorption coefficient has some margin of error, meaning that numerical agreement could never be</w:t>
      </w:r>
      <w:r w:rsidR="00575CB6" w:rsidRPr="000834B8">
        <w:rPr>
          <w:sz w:val="22"/>
          <w:szCs w:val="22"/>
        </w:rPr>
        <w:t xml:space="preserve"> reached with certaint</w:t>
      </w:r>
      <w:r w:rsidR="00A45607" w:rsidRPr="000834B8">
        <w:rPr>
          <w:sz w:val="22"/>
          <w:szCs w:val="22"/>
        </w:rPr>
        <w:t xml:space="preserve">y in this approach. A fully theoretical approach can also, to date, not reproduce </w:t>
      </w:r>
      <w:r w:rsidR="00C0662A">
        <w:rPr>
          <w:sz w:val="22"/>
          <w:szCs w:val="22"/>
        </w:rPr>
        <w:t xml:space="preserve">accurately </w:t>
      </w:r>
      <w:r w:rsidR="00A45607" w:rsidRPr="000834B8">
        <w:rPr>
          <w:sz w:val="22"/>
          <w:szCs w:val="22"/>
        </w:rPr>
        <w:t>the temperature-dependence of k</w:t>
      </w:r>
      <w:r w:rsidR="00A45607" w:rsidRPr="000834B8">
        <w:rPr>
          <w:sz w:val="22"/>
          <w:szCs w:val="22"/>
          <w:vertAlign w:val="subscript"/>
        </w:rPr>
        <w:t>2</w:t>
      </w:r>
      <w:r w:rsidR="00A45607" w:rsidRPr="000834B8">
        <w:rPr>
          <w:sz w:val="22"/>
          <w:szCs w:val="22"/>
        </w:rPr>
        <w:t>, as we have done here. In addition,</w:t>
      </w:r>
      <w:r w:rsidR="005B1A1C" w:rsidRPr="000834B8">
        <w:rPr>
          <w:sz w:val="22"/>
          <w:szCs w:val="22"/>
        </w:rPr>
        <w:t xml:space="preserve"> DFT calculations also do</w:t>
      </w:r>
      <w:r w:rsidR="00D30011" w:rsidRPr="000834B8">
        <w:rPr>
          <w:sz w:val="22"/>
          <w:szCs w:val="22"/>
        </w:rPr>
        <w:t xml:space="preserve"> not include electron-</w:t>
      </w:r>
      <w:r w:rsidR="00AF163B" w:rsidRPr="000834B8">
        <w:rPr>
          <w:sz w:val="22"/>
          <w:szCs w:val="22"/>
        </w:rPr>
        <w:t>hole</w:t>
      </w:r>
      <w:r w:rsidR="00D30011" w:rsidRPr="000834B8">
        <w:rPr>
          <w:sz w:val="22"/>
          <w:szCs w:val="22"/>
        </w:rPr>
        <w:t xml:space="preserve"> interactions and therefore </w:t>
      </w:r>
      <w:proofErr w:type="spellStart"/>
      <w:r w:rsidR="00D30011" w:rsidRPr="000834B8">
        <w:rPr>
          <w:sz w:val="22"/>
          <w:szCs w:val="22"/>
        </w:rPr>
        <w:t>excitonic</w:t>
      </w:r>
      <w:proofErr w:type="spellEnd"/>
      <w:r w:rsidR="00D30011" w:rsidRPr="000834B8">
        <w:rPr>
          <w:sz w:val="22"/>
          <w:szCs w:val="22"/>
        </w:rPr>
        <w:t xml:space="preserve"> effects and Coulombic enhancement will not be present in the simulated spectrum</w:t>
      </w:r>
      <w:r w:rsidR="00A45607" w:rsidRPr="000834B8">
        <w:rPr>
          <w:sz w:val="22"/>
          <w:szCs w:val="22"/>
        </w:rPr>
        <w:t>. As our study shows,</w:t>
      </w:r>
      <w:r w:rsidR="00D30011" w:rsidRPr="000834B8">
        <w:rPr>
          <w:sz w:val="22"/>
          <w:szCs w:val="22"/>
        </w:rPr>
        <w:t xml:space="preserve"> </w:t>
      </w:r>
      <w:r w:rsidR="00A45607" w:rsidRPr="000834B8">
        <w:rPr>
          <w:sz w:val="22"/>
          <w:szCs w:val="22"/>
        </w:rPr>
        <w:t>these effects are highly</w:t>
      </w:r>
      <w:r w:rsidR="00D30011" w:rsidRPr="000834B8">
        <w:rPr>
          <w:sz w:val="22"/>
          <w:szCs w:val="22"/>
        </w:rPr>
        <w:t xml:space="preserve"> important in order to accurately replicate the bimolecular recombination from absorption spectra.</w:t>
      </w:r>
      <w:r w:rsidR="00A45607" w:rsidRPr="000834B8">
        <w:rPr>
          <w:sz w:val="22"/>
          <w:szCs w:val="22"/>
        </w:rPr>
        <w:t xml:space="preserve"> Therefore, a purely theoretical study is unable to present any proof a particular mechanism being in operation.</w:t>
      </w:r>
      <w:r w:rsidR="00575CB6" w:rsidRPr="000834B8">
        <w:rPr>
          <w:sz w:val="22"/>
          <w:szCs w:val="22"/>
        </w:rPr>
        <w:t xml:space="preserve"> </w:t>
      </w:r>
      <w:r w:rsidR="00083E9F" w:rsidRPr="000834B8">
        <w:rPr>
          <w:sz w:val="22"/>
          <w:szCs w:val="22"/>
        </w:rPr>
        <w:t>In contrast, o</w:t>
      </w:r>
      <w:r w:rsidR="00575CB6" w:rsidRPr="000834B8">
        <w:rPr>
          <w:sz w:val="22"/>
          <w:szCs w:val="22"/>
        </w:rPr>
        <w:t>ur study is based on actual, experimental verification of the van-</w:t>
      </w:r>
      <w:proofErr w:type="spellStart"/>
      <w:r w:rsidR="00575CB6" w:rsidRPr="000834B8">
        <w:rPr>
          <w:sz w:val="22"/>
          <w:szCs w:val="22"/>
        </w:rPr>
        <w:t>Roosbroeck</w:t>
      </w:r>
      <w:proofErr w:type="spellEnd"/>
      <w:r w:rsidR="00575CB6" w:rsidRPr="000834B8">
        <w:rPr>
          <w:sz w:val="22"/>
          <w:szCs w:val="22"/>
        </w:rPr>
        <w:t>-Shockley relation, which is the only way in which this can be done with any certainty.</w:t>
      </w:r>
    </w:p>
    <w:p w14:paraId="0423B413" w14:textId="77777777" w:rsidR="00023100" w:rsidRPr="000834B8" w:rsidRDefault="00023100" w:rsidP="00ED0665">
      <w:pPr>
        <w:rPr>
          <w:sz w:val="22"/>
          <w:szCs w:val="22"/>
        </w:rPr>
      </w:pPr>
    </w:p>
    <w:p w14:paraId="5A6D779B" w14:textId="5EDCB2F7" w:rsidR="00ED0665" w:rsidRPr="000834B8" w:rsidRDefault="00A520D4" w:rsidP="00ED0665">
      <w:pPr>
        <w:rPr>
          <w:sz w:val="22"/>
          <w:szCs w:val="22"/>
        </w:rPr>
      </w:pPr>
      <w:r w:rsidRPr="000834B8">
        <w:rPr>
          <w:sz w:val="22"/>
          <w:szCs w:val="22"/>
        </w:rPr>
        <w:lastRenderedPageBreak/>
        <w:t xml:space="preserve">Considering the </w:t>
      </w:r>
      <w:r w:rsidR="00322B2C" w:rsidRPr="000834B8">
        <w:rPr>
          <w:sz w:val="22"/>
          <w:szCs w:val="22"/>
        </w:rPr>
        <w:t xml:space="preserve">extended </w:t>
      </w:r>
      <w:r w:rsidRPr="000834B8">
        <w:rPr>
          <w:sz w:val="22"/>
          <w:szCs w:val="22"/>
        </w:rPr>
        <w:t xml:space="preserve">length of the </w:t>
      </w:r>
      <w:r w:rsidR="00B210AD" w:rsidRPr="000834B8">
        <w:rPr>
          <w:sz w:val="22"/>
          <w:szCs w:val="22"/>
        </w:rPr>
        <w:t>Supplementary</w:t>
      </w:r>
      <w:r w:rsidRPr="000834B8">
        <w:rPr>
          <w:sz w:val="22"/>
          <w:szCs w:val="22"/>
        </w:rPr>
        <w:t xml:space="preserve"> I</w:t>
      </w:r>
      <w:r w:rsidR="00322B2C" w:rsidRPr="000834B8">
        <w:rPr>
          <w:sz w:val="22"/>
          <w:szCs w:val="22"/>
        </w:rPr>
        <w:t>nformation (</w:t>
      </w:r>
      <w:r w:rsidRPr="000834B8">
        <w:rPr>
          <w:sz w:val="22"/>
          <w:szCs w:val="22"/>
        </w:rPr>
        <w:t>31 pages</w:t>
      </w:r>
      <w:r w:rsidR="00322B2C" w:rsidRPr="000834B8">
        <w:rPr>
          <w:sz w:val="22"/>
          <w:szCs w:val="22"/>
        </w:rPr>
        <w:t>)</w:t>
      </w:r>
      <w:r w:rsidRPr="000834B8">
        <w:rPr>
          <w:sz w:val="22"/>
          <w:szCs w:val="22"/>
        </w:rPr>
        <w:t xml:space="preserve"> we </w:t>
      </w:r>
      <w:r w:rsidR="00590DA4" w:rsidRPr="000834B8">
        <w:rPr>
          <w:sz w:val="22"/>
          <w:szCs w:val="22"/>
        </w:rPr>
        <w:t xml:space="preserve">believe </w:t>
      </w:r>
      <w:r w:rsidRPr="000834B8">
        <w:rPr>
          <w:sz w:val="22"/>
          <w:szCs w:val="22"/>
        </w:rPr>
        <w:t>that the current format is the most suitable</w:t>
      </w:r>
      <w:r w:rsidR="00C04C89" w:rsidRPr="000834B8">
        <w:rPr>
          <w:sz w:val="22"/>
          <w:szCs w:val="22"/>
        </w:rPr>
        <w:t xml:space="preserve"> for our work</w:t>
      </w:r>
      <w:r w:rsidR="00CC1FDE" w:rsidRPr="000834B8">
        <w:rPr>
          <w:sz w:val="22"/>
          <w:szCs w:val="22"/>
        </w:rPr>
        <w:t xml:space="preserve"> and will be more </w:t>
      </w:r>
      <w:r w:rsidR="00575CB6" w:rsidRPr="000834B8">
        <w:rPr>
          <w:sz w:val="22"/>
          <w:szCs w:val="22"/>
        </w:rPr>
        <w:t xml:space="preserve">accessible </w:t>
      </w:r>
      <w:r w:rsidR="00CC1FDE" w:rsidRPr="000834B8">
        <w:rPr>
          <w:sz w:val="22"/>
          <w:szCs w:val="22"/>
        </w:rPr>
        <w:t xml:space="preserve">to </w:t>
      </w:r>
      <w:r w:rsidR="00575CB6" w:rsidRPr="000834B8">
        <w:rPr>
          <w:sz w:val="22"/>
          <w:szCs w:val="22"/>
        </w:rPr>
        <w:t xml:space="preserve">the </w:t>
      </w:r>
      <w:r w:rsidR="00CC1FDE" w:rsidRPr="000834B8">
        <w:rPr>
          <w:sz w:val="22"/>
          <w:szCs w:val="22"/>
        </w:rPr>
        <w:t>wide audience</w:t>
      </w:r>
      <w:r w:rsidR="00590DA4" w:rsidRPr="000834B8">
        <w:rPr>
          <w:sz w:val="22"/>
          <w:szCs w:val="22"/>
        </w:rPr>
        <w:t xml:space="preserve"> of</w:t>
      </w:r>
      <w:r w:rsidR="00575CB6" w:rsidRPr="000834B8">
        <w:rPr>
          <w:sz w:val="22"/>
          <w:szCs w:val="22"/>
        </w:rPr>
        <w:t xml:space="preserve"> readers interested in these results</w:t>
      </w:r>
      <w:r w:rsidRPr="000834B8">
        <w:rPr>
          <w:sz w:val="22"/>
          <w:szCs w:val="22"/>
        </w:rPr>
        <w:t>.</w:t>
      </w:r>
    </w:p>
    <w:p w14:paraId="3CD8EE69" w14:textId="77777777" w:rsidR="00290274" w:rsidRPr="000834B8" w:rsidRDefault="00290274" w:rsidP="00ED0665">
      <w:pPr>
        <w:rPr>
          <w:rFonts w:eastAsia="Times New Roman"/>
          <w:b/>
          <w:color w:val="000000"/>
          <w:sz w:val="22"/>
          <w:szCs w:val="22"/>
        </w:rPr>
      </w:pPr>
    </w:p>
    <w:p w14:paraId="761F5122" w14:textId="3F393714" w:rsidR="00ED0665" w:rsidRPr="000834B8" w:rsidRDefault="00ED0665" w:rsidP="00ED0665">
      <w:pPr>
        <w:rPr>
          <w:color w:val="FF0000"/>
          <w:sz w:val="22"/>
          <w:szCs w:val="22"/>
        </w:rPr>
      </w:pPr>
      <w:r w:rsidRPr="000834B8">
        <w:rPr>
          <w:rFonts w:eastAsia="Times New Roman"/>
          <w:b/>
          <w:color w:val="000000"/>
          <w:sz w:val="22"/>
          <w:szCs w:val="22"/>
        </w:rPr>
        <w:br/>
      </w:r>
      <w:r w:rsidRPr="000834B8">
        <w:rPr>
          <w:rFonts w:eastAsia="Times New Roman"/>
          <w:b/>
          <w:color w:val="000000"/>
          <w:sz w:val="22"/>
          <w:szCs w:val="22"/>
          <w:shd w:val="clear" w:color="auto" w:fill="FFFFFF"/>
        </w:rPr>
        <w:t>Additional points:</w:t>
      </w:r>
      <w:r w:rsidRPr="000834B8">
        <w:rPr>
          <w:rFonts w:eastAsia="Times New Roman"/>
          <w:b/>
          <w:color w:val="000000"/>
          <w:sz w:val="22"/>
          <w:szCs w:val="22"/>
        </w:rPr>
        <w:br/>
      </w:r>
      <w:r w:rsidRPr="000834B8">
        <w:rPr>
          <w:rFonts w:eastAsia="Times New Roman"/>
          <w:b/>
          <w:color w:val="000000"/>
          <w:sz w:val="22"/>
          <w:szCs w:val="22"/>
          <w:shd w:val="clear" w:color="auto" w:fill="FFFFFF"/>
        </w:rPr>
        <w:t>• Why is not the GW based absorption reported together with experimental data? By comparing Fig.2 and Fig.1 it seems that the theoretical absorption (without enhancement) compares with coulomb enhanced curve. Is this the case? Please comment.</w:t>
      </w:r>
    </w:p>
    <w:p w14:paraId="6B9FF63A" w14:textId="77777777" w:rsidR="00ED0665" w:rsidRPr="000834B8" w:rsidRDefault="00ED0665" w:rsidP="00ED0665">
      <w:pPr>
        <w:widowControl w:val="0"/>
        <w:autoSpaceDE w:val="0"/>
        <w:autoSpaceDN w:val="0"/>
        <w:adjustRightInd w:val="0"/>
        <w:rPr>
          <w:b/>
          <w:sz w:val="22"/>
          <w:szCs w:val="22"/>
        </w:rPr>
      </w:pPr>
    </w:p>
    <w:p w14:paraId="72B6114B" w14:textId="77777777" w:rsidR="00ED0665" w:rsidRPr="000834B8" w:rsidRDefault="00ED0665" w:rsidP="00ED0665">
      <w:pPr>
        <w:rPr>
          <w:sz w:val="22"/>
          <w:szCs w:val="22"/>
        </w:rPr>
      </w:pPr>
      <w:r w:rsidRPr="000834B8">
        <w:rPr>
          <w:sz w:val="22"/>
          <w:szCs w:val="22"/>
        </w:rPr>
        <w:t xml:space="preserve">Author reply: </w:t>
      </w:r>
    </w:p>
    <w:p w14:paraId="6707126E" w14:textId="49B93A81" w:rsidR="008D4400" w:rsidRPr="000834B8" w:rsidRDefault="00EF35ED" w:rsidP="0027012E">
      <w:pPr>
        <w:rPr>
          <w:sz w:val="22"/>
          <w:szCs w:val="22"/>
        </w:rPr>
      </w:pPr>
      <w:r w:rsidRPr="000834B8">
        <w:rPr>
          <w:sz w:val="22"/>
          <w:szCs w:val="22"/>
        </w:rPr>
        <w:t xml:space="preserve">The referee is </w:t>
      </w:r>
      <w:proofErr w:type="gramStart"/>
      <w:r w:rsidRPr="000834B8">
        <w:rPr>
          <w:sz w:val="22"/>
          <w:szCs w:val="22"/>
        </w:rPr>
        <w:t>correct</w:t>
      </w:r>
      <w:proofErr w:type="gramEnd"/>
      <w:r w:rsidRPr="000834B8">
        <w:rPr>
          <w:sz w:val="22"/>
          <w:szCs w:val="22"/>
        </w:rPr>
        <w:t xml:space="preserve"> that the theoretical absorption should be </w:t>
      </w:r>
      <w:r w:rsidR="008C106C" w:rsidRPr="000834B8">
        <w:rPr>
          <w:sz w:val="22"/>
          <w:szCs w:val="22"/>
        </w:rPr>
        <w:t>compared</w:t>
      </w:r>
      <w:r w:rsidRPr="000834B8">
        <w:rPr>
          <w:sz w:val="22"/>
          <w:szCs w:val="22"/>
        </w:rPr>
        <w:t xml:space="preserve"> to the </w:t>
      </w:r>
      <w:r w:rsidR="00337F2F" w:rsidRPr="000834B8">
        <w:rPr>
          <w:sz w:val="22"/>
          <w:szCs w:val="22"/>
        </w:rPr>
        <w:t xml:space="preserve">absorption spectra without enhancement.  </w:t>
      </w:r>
      <w:r w:rsidR="00590DA4" w:rsidRPr="000834B8">
        <w:rPr>
          <w:sz w:val="22"/>
          <w:szCs w:val="22"/>
        </w:rPr>
        <w:t xml:space="preserve">We apologize if this had not been clear from the text. </w:t>
      </w:r>
      <w:r w:rsidR="00337F2F" w:rsidRPr="000834B8">
        <w:rPr>
          <w:sz w:val="22"/>
          <w:szCs w:val="22"/>
        </w:rPr>
        <w:t>The GW results were plotted alongside the DFT calculations to highlight the differenc</w:t>
      </w:r>
      <w:r w:rsidR="00FF6DE0" w:rsidRPr="000834B8">
        <w:rPr>
          <w:sz w:val="22"/>
          <w:szCs w:val="22"/>
        </w:rPr>
        <w:t>e in absorption spectrum produced by the two methods</w:t>
      </w:r>
      <w:r w:rsidR="00E5386B" w:rsidRPr="000834B8">
        <w:rPr>
          <w:sz w:val="22"/>
          <w:szCs w:val="22"/>
        </w:rPr>
        <w:t xml:space="preserve"> and to allow an honest assessment of the work.</w:t>
      </w:r>
      <w:r w:rsidR="00AA5D2D" w:rsidRPr="000834B8">
        <w:rPr>
          <w:sz w:val="22"/>
          <w:szCs w:val="22"/>
        </w:rPr>
        <w:t xml:space="preserve">  The value of the first principle</w:t>
      </w:r>
      <w:r w:rsidR="00064A3E" w:rsidRPr="000834B8">
        <w:rPr>
          <w:sz w:val="22"/>
          <w:szCs w:val="22"/>
        </w:rPr>
        <w:t>s</w:t>
      </w:r>
      <w:r w:rsidR="00AA5D2D" w:rsidRPr="000834B8">
        <w:rPr>
          <w:sz w:val="22"/>
          <w:szCs w:val="22"/>
        </w:rPr>
        <w:t xml:space="preserve"> calculations was in explaining the </w:t>
      </w:r>
      <w:r w:rsidR="00064A3E" w:rsidRPr="000834B8">
        <w:rPr>
          <w:sz w:val="22"/>
          <w:szCs w:val="22"/>
        </w:rPr>
        <w:t xml:space="preserve">validity range and </w:t>
      </w:r>
      <w:r w:rsidR="00AA5D2D" w:rsidRPr="000834B8">
        <w:rPr>
          <w:sz w:val="22"/>
          <w:szCs w:val="22"/>
        </w:rPr>
        <w:t xml:space="preserve">limitations of Elliott’s theory and </w:t>
      </w:r>
      <w:r w:rsidR="00064A3E" w:rsidRPr="000834B8">
        <w:rPr>
          <w:sz w:val="22"/>
          <w:szCs w:val="22"/>
        </w:rPr>
        <w:t>yielding accurate effective masses required for the calculations</w:t>
      </w:r>
      <w:r w:rsidR="00AA5D2D" w:rsidRPr="000834B8">
        <w:rPr>
          <w:sz w:val="22"/>
          <w:szCs w:val="22"/>
        </w:rPr>
        <w:t>.</w:t>
      </w:r>
      <w:r w:rsidR="001318C5" w:rsidRPr="000834B8">
        <w:rPr>
          <w:sz w:val="22"/>
          <w:szCs w:val="22"/>
        </w:rPr>
        <w:t xml:space="preserve">  The calculated value of absorption coefficient is slightly high when compared with the </w:t>
      </w:r>
      <w:r w:rsidR="00F54103" w:rsidRPr="000834B8">
        <w:rPr>
          <w:sz w:val="22"/>
          <w:szCs w:val="22"/>
        </w:rPr>
        <w:t>absorption spectra without Coulombic enhancement</w:t>
      </w:r>
      <w:r w:rsidR="00727841" w:rsidRPr="000834B8">
        <w:rPr>
          <w:sz w:val="22"/>
          <w:szCs w:val="22"/>
        </w:rPr>
        <w:t xml:space="preserve"> (</w:t>
      </w:r>
      <w:r w:rsidR="00727841" w:rsidRPr="000834B8">
        <w:rPr>
          <w:sz w:val="22"/>
          <w:szCs w:val="22"/>
          <w:lang w:val="el-GR"/>
        </w:rPr>
        <w:t>α</w:t>
      </w:r>
      <w:r w:rsidR="00727841" w:rsidRPr="000834B8">
        <w:rPr>
          <w:sz w:val="22"/>
          <w:szCs w:val="22"/>
          <w:vertAlign w:val="subscript"/>
        </w:rPr>
        <w:t>Free</w:t>
      </w:r>
      <w:r w:rsidR="0027012E" w:rsidRPr="000834B8">
        <w:rPr>
          <w:sz w:val="22"/>
          <w:szCs w:val="22"/>
        </w:rPr>
        <w:t xml:space="preserve">).  </w:t>
      </w:r>
    </w:p>
    <w:p w14:paraId="2B18FEA9" w14:textId="77777777" w:rsidR="008D4400" w:rsidRPr="000834B8" w:rsidRDefault="008D4400" w:rsidP="008D4400">
      <w:pPr>
        <w:rPr>
          <w:sz w:val="22"/>
          <w:szCs w:val="22"/>
        </w:rPr>
      </w:pPr>
      <w:r w:rsidRPr="000834B8">
        <w:rPr>
          <w:sz w:val="22"/>
          <w:szCs w:val="22"/>
        </w:rPr>
        <w:t xml:space="preserve">There are two main reasons for the discrepancy between the calculated and experimental spectra, on which we comment here and have now added additional material to the main article and Supplementary Information.  </w:t>
      </w:r>
    </w:p>
    <w:p w14:paraId="78EE7195" w14:textId="1F92B273" w:rsidR="008D4400" w:rsidRPr="000834B8" w:rsidRDefault="008D4400" w:rsidP="008D4400">
      <w:pPr>
        <w:rPr>
          <w:sz w:val="22"/>
          <w:szCs w:val="22"/>
        </w:rPr>
      </w:pPr>
      <w:r w:rsidRPr="000834B8">
        <w:rPr>
          <w:sz w:val="22"/>
          <w:szCs w:val="22"/>
        </w:rPr>
        <w:t>Firstly, electron-hole interactions are not taken into account owing to the calculations being currently computationally intractable for MAPbI</w:t>
      </w:r>
      <w:r w:rsidRPr="000834B8">
        <w:rPr>
          <w:sz w:val="22"/>
          <w:szCs w:val="22"/>
          <w:vertAlign w:val="subscript"/>
        </w:rPr>
        <w:t>3</w:t>
      </w:r>
      <w:r w:rsidR="00C0662A">
        <w:rPr>
          <w:sz w:val="22"/>
          <w:szCs w:val="22"/>
        </w:rPr>
        <w:t xml:space="preserve">. </w:t>
      </w:r>
      <w:r w:rsidRPr="000834B8">
        <w:rPr>
          <w:sz w:val="22"/>
          <w:szCs w:val="22"/>
        </w:rPr>
        <w:t>We had already included a comment to highlight this in t</w:t>
      </w:r>
      <w:r w:rsidR="00C0662A">
        <w:rPr>
          <w:sz w:val="22"/>
          <w:szCs w:val="22"/>
        </w:rPr>
        <w:t xml:space="preserve">he captions for Figure 2d, but </w:t>
      </w:r>
      <w:r w:rsidRPr="000834B8">
        <w:rPr>
          <w:sz w:val="22"/>
          <w:szCs w:val="22"/>
        </w:rPr>
        <w:t>we have now also pointed this out in the main text for clarification.</w:t>
      </w:r>
    </w:p>
    <w:p w14:paraId="6E885950" w14:textId="77777777" w:rsidR="008D4400" w:rsidRPr="000834B8" w:rsidRDefault="008D4400" w:rsidP="008D4400">
      <w:pPr>
        <w:rPr>
          <w:sz w:val="22"/>
          <w:szCs w:val="22"/>
        </w:rPr>
      </w:pPr>
    </w:p>
    <w:p w14:paraId="7FD73963" w14:textId="77777777" w:rsidR="008D4400" w:rsidRPr="000834B8" w:rsidRDefault="008D4400" w:rsidP="008D4400">
      <w:pPr>
        <w:rPr>
          <w:color w:val="FF0000"/>
          <w:sz w:val="22"/>
          <w:szCs w:val="22"/>
        </w:rPr>
      </w:pPr>
      <w:r w:rsidRPr="000834B8">
        <w:rPr>
          <w:color w:val="FF0000"/>
          <w:sz w:val="22"/>
          <w:szCs w:val="22"/>
        </w:rPr>
        <w:t>Changes made:</w:t>
      </w:r>
    </w:p>
    <w:p w14:paraId="7EC17762" w14:textId="77777777" w:rsidR="008D4400" w:rsidRPr="000834B8" w:rsidRDefault="008D4400" w:rsidP="008D4400">
      <w:pPr>
        <w:rPr>
          <w:color w:val="FF0000"/>
          <w:sz w:val="22"/>
          <w:szCs w:val="22"/>
        </w:rPr>
      </w:pPr>
      <w:r w:rsidRPr="000834B8">
        <w:rPr>
          <w:color w:val="FF0000"/>
          <w:sz w:val="22"/>
          <w:szCs w:val="22"/>
        </w:rPr>
        <w:t>On page 9, changed “</w:t>
      </w:r>
      <w:r w:rsidRPr="000834B8">
        <w:rPr>
          <w:i/>
          <w:color w:val="FF0000"/>
          <w:sz w:val="22"/>
          <w:szCs w:val="22"/>
        </w:rPr>
        <w:t>Comparison with experimental data (Figure 1b) shows that…”</w:t>
      </w:r>
      <w:r w:rsidRPr="000834B8">
        <w:rPr>
          <w:color w:val="FF0000"/>
          <w:sz w:val="22"/>
          <w:szCs w:val="22"/>
        </w:rPr>
        <w:t xml:space="preserve"> to</w:t>
      </w:r>
    </w:p>
    <w:p w14:paraId="5F0DE482" w14:textId="77777777" w:rsidR="008D4400" w:rsidRPr="000834B8" w:rsidRDefault="008D4400" w:rsidP="008D4400">
      <w:pPr>
        <w:rPr>
          <w:color w:val="FF0000"/>
          <w:sz w:val="22"/>
          <w:szCs w:val="22"/>
        </w:rPr>
      </w:pPr>
      <w:r w:rsidRPr="000834B8">
        <w:rPr>
          <w:color w:val="FF0000"/>
          <w:sz w:val="22"/>
          <w:szCs w:val="22"/>
        </w:rPr>
        <w:t>“Comparison with experimental data (</w:t>
      </w:r>
      <w:r w:rsidRPr="000834B8">
        <w:rPr>
          <w:color w:val="FF0000"/>
          <w:sz w:val="22"/>
          <w:szCs w:val="22"/>
          <w:lang w:val="el-GR"/>
        </w:rPr>
        <w:t>α</w:t>
      </w:r>
      <w:r w:rsidRPr="000834B8">
        <w:rPr>
          <w:color w:val="FF0000"/>
          <w:sz w:val="22"/>
          <w:szCs w:val="22"/>
          <w:vertAlign w:val="subscript"/>
        </w:rPr>
        <w:t>free</w:t>
      </w:r>
      <w:r w:rsidRPr="000834B8">
        <w:rPr>
          <w:color w:val="FF0000"/>
          <w:sz w:val="22"/>
          <w:szCs w:val="22"/>
        </w:rPr>
        <w:t>, Figure 1b) shows that…”</w:t>
      </w:r>
    </w:p>
    <w:p w14:paraId="5BB9F8AD" w14:textId="77777777" w:rsidR="00E63EB7" w:rsidRPr="000834B8" w:rsidRDefault="00E63EB7" w:rsidP="0027012E">
      <w:pPr>
        <w:rPr>
          <w:sz w:val="22"/>
          <w:szCs w:val="22"/>
        </w:rPr>
      </w:pPr>
    </w:p>
    <w:p w14:paraId="0885F9F7" w14:textId="77777777" w:rsidR="00E63EB7" w:rsidRPr="000834B8" w:rsidRDefault="00E63EB7" w:rsidP="00E63EB7">
      <w:pPr>
        <w:rPr>
          <w:sz w:val="22"/>
          <w:szCs w:val="22"/>
        </w:rPr>
      </w:pPr>
      <w:r w:rsidRPr="000834B8">
        <w:rPr>
          <w:sz w:val="22"/>
          <w:szCs w:val="22"/>
        </w:rPr>
        <w:t>Secondly, calculating the dipole matrix elements directly from GW requires a self-consistent calculation of the quasi-particle wave functions, which is computationally prohibitive for a system of the size of MAPbI</w:t>
      </w:r>
      <w:r w:rsidRPr="000834B8">
        <w:rPr>
          <w:sz w:val="22"/>
          <w:szCs w:val="22"/>
          <w:vertAlign w:val="subscript"/>
        </w:rPr>
        <w:t>3</w:t>
      </w:r>
      <w:r w:rsidRPr="000834B8">
        <w:rPr>
          <w:sz w:val="22"/>
          <w:szCs w:val="22"/>
        </w:rPr>
        <w:t xml:space="preserve">.  To overcome this bottleneck, we have taken advantage of the observation that quasi-particle and DFT wave functions are not significantly different (as discussed in Ref. 19 of the Supplementary Information), and calculate the dipole matrix elements only at the DFT level.  Currently displayed in Figure 2d, is the GW absorption coefficient which uses the DFT dipole matrix elements rescaled by the difference in </w:t>
      </w:r>
      <w:proofErr w:type="spellStart"/>
      <w:r w:rsidRPr="000834B8">
        <w:rPr>
          <w:sz w:val="22"/>
          <w:szCs w:val="22"/>
        </w:rPr>
        <w:t>eigen</w:t>
      </w:r>
      <w:proofErr w:type="spellEnd"/>
      <w:r w:rsidRPr="000834B8">
        <w:rPr>
          <w:sz w:val="22"/>
          <w:szCs w:val="22"/>
        </w:rPr>
        <w:t xml:space="preserve">-energies between conduction and valence bands (see Equation 3 of the Supplementary Information).   In comparison with the experimental absorption coefficient, the scaled GW calculation overestimates the absorption coefficient.  The correct value of absorption coefficient for screened electrons and holes is most likely bracketed between the calculated absorption coefficient using the scaled DFT dipole matrix and the original DFT dipole matrix.  To clarify this </w:t>
      </w:r>
      <w:proofErr w:type="gramStart"/>
      <w:r w:rsidRPr="000834B8">
        <w:rPr>
          <w:sz w:val="22"/>
          <w:szCs w:val="22"/>
        </w:rPr>
        <w:t>issue</w:t>
      </w:r>
      <w:proofErr w:type="gramEnd"/>
      <w:r w:rsidRPr="000834B8">
        <w:rPr>
          <w:sz w:val="22"/>
          <w:szCs w:val="22"/>
        </w:rPr>
        <w:t xml:space="preserve"> we have: (</w:t>
      </w:r>
      <w:proofErr w:type="spellStart"/>
      <w:r w:rsidRPr="000834B8">
        <w:rPr>
          <w:sz w:val="22"/>
          <w:szCs w:val="22"/>
        </w:rPr>
        <w:t>i</w:t>
      </w:r>
      <w:proofErr w:type="spellEnd"/>
      <w:r w:rsidRPr="000834B8">
        <w:rPr>
          <w:sz w:val="22"/>
          <w:szCs w:val="22"/>
        </w:rPr>
        <w:t>) updated Figure 2d to show the absorption coefficient calculated by DFT, and GW for the cases of scaled and unscaled dipole matrix elements; (ii) extended the discussion in the Supplementary Information making all calculation very explicit; (iii) added a paragraph in the main text detailing the variants of the absorption coefficient and amended the relevant passages.   These changes are detailed below:</w:t>
      </w:r>
    </w:p>
    <w:p w14:paraId="16D3288A" w14:textId="77777777" w:rsidR="00E63EB7" w:rsidRPr="000834B8" w:rsidRDefault="00E63EB7" w:rsidP="00E63EB7">
      <w:pPr>
        <w:rPr>
          <w:sz w:val="22"/>
          <w:szCs w:val="22"/>
        </w:rPr>
      </w:pPr>
    </w:p>
    <w:p w14:paraId="3DC6E543" w14:textId="77777777" w:rsidR="00E63EB7" w:rsidRPr="000834B8" w:rsidRDefault="00E63EB7" w:rsidP="00E63EB7">
      <w:pPr>
        <w:rPr>
          <w:color w:val="FF0000"/>
          <w:sz w:val="22"/>
          <w:szCs w:val="22"/>
        </w:rPr>
      </w:pPr>
      <w:r w:rsidRPr="000834B8">
        <w:rPr>
          <w:color w:val="FF0000"/>
          <w:sz w:val="22"/>
          <w:szCs w:val="22"/>
        </w:rPr>
        <w:t>Changes made:</w:t>
      </w:r>
    </w:p>
    <w:p w14:paraId="12561ED9" w14:textId="77777777" w:rsidR="00E63EB7" w:rsidRPr="000834B8" w:rsidRDefault="00E63EB7" w:rsidP="00E63EB7">
      <w:pPr>
        <w:rPr>
          <w:color w:val="FF0000"/>
          <w:sz w:val="22"/>
          <w:szCs w:val="22"/>
        </w:rPr>
      </w:pPr>
      <w:r w:rsidRPr="000834B8">
        <w:rPr>
          <w:color w:val="FF0000"/>
          <w:sz w:val="22"/>
          <w:szCs w:val="22"/>
        </w:rPr>
        <w:t>On page 22</w:t>
      </w:r>
    </w:p>
    <w:p w14:paraId="0CEA26B4" w14:textId="77777777" w:rsidR="00E63EB7" w:rsidRPr="000834B8" w:rsidRDefault="00E63EB7" w:rsidP="00E63EB7">
      <w:pPr>
        <w:rPr>
          <w:color w:val="FF0000"/>
          <w:sz w:val="22"/>
          <w:szCs w:val="22"/>
        </w:rPr>
      </w:pPr>
      <w:r w:rsidRPr="000834B8">
        <w:rPr>
          <w:color w:val="FF0000"/>
          <w:sz w:val="22"/>
          <w:szCs w:val="22"/>
        </w:rPr>
        <w:t>Updated Figure 2d:</w:t>
      </w:r>
    </w:p>
    <w:p w14:paraId="0DDB7FE4" w14:textId="77777777" w:rsidR="00E63EB7" w:rsidRPr="000834B8" w:rsidRDefault="00E63EB7" w:rsidP="00E63EB7">
      <w:pPr>
        <w:rPr>
          <w:sz w:val="22"/>
          <w:szCs w:val="22"/>
        </w:rPr>
      </w:pPr>
    </w:p>
    <w:p w14:paraId="38C5FFA8" w14:textId="77777777" w:rsidR="00E63EB7" w:rsidRPr="000834B8" w:rsidRDefault="00E63EB7" w:rsidP="00E63EB7">
      <w:pPr>
        <w:jc w:val="center"/>
        <w:rPr>
          <w:color w:val="008000"/>
          <w:sz w:val="22"/>
          <w:szCs w:val="22"/>
        </w:rPr>
      </w:pPr>
      <w:r w:rsidRPr="000834B8">
        <w:rPr>
          <w:noProof/>
          <w:color w:val="008000"/>
          <w:sz w:val="22"/>
          <w:szCs w:val="22"/>
        </w:rPr>
        <w:lastRenderedPageBreak/>
        <w:drawing>
          <wp:inline distT="0" distB="0" distL="0" distR="0" wp14:anchorId="7D03EF14" wp14:editId="1AF7DD43">
            <wp:extent cx="2243455" cy="2294255"/>
            <wp:effectExtent l="0" t="0" r="0" b="0"/>
            <wp:docPr id="4" name="Picture 4" descr="Crucial:Users:ChrisDavies:Desktop:2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cial:Users:ChrisDavies:Desktop:2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455" cy="2294255"/>
                    </a:xfrm>
                    <a:prstGeom prst="rect">
                      <a:avLst/>
                    </a:prstGeom>
                    <a:noFill/>
                    <a:ln>
                      <a:noFill/>
                    </a:ln>
                  </pic:spPr>
                </pic:pic>
              </a:graphicData>
            </a:graphic>
          </wp:inline>
        </w:drawing>
      </w:r>
    </w:p>
    <w:p w14:paraId="1EEDA1DB" w14:textId="77777777" w:rsidR="00E63EB7" w:rsidRPr="000834B8" w:rsidRDefault="00E63EB7" w:rsidP="00E63EB7">
      <w:pPr>
        <w:rPr>
          <w:color w:val="FF0000"/>
          <w:sz w:val="22"/>
          <w:szCs w:val="22"/>
        </w:rPr>
      </w:pPr>
      <w:r w:rsidRPr="000834B8">
        <w:rPr>
          <w:color w:val="FF0000"/>
          <w:sz w:val="22"/>
          <w:szCs w:val="22"/>
        </w:rPr>
        <w:t>Caption replaced</w:t>
      </w:r>
      <w:proofErr w:type="gramStart"/>
      <w:r w:rsidRPr="000834B8">
        <w:rPr>
          <w:color w:val="FF0000"/>
          <w:sz w:val="22"/>
          <w:szCs w:val="22"/>
        </w:rPr>
        <w:t>:  [</w:t>
      </w:r>
      <w:proofErr w:type="gramEnd"/>
      <w:r w:rsidRPr="000834B8">
        <w:rPr>
          <w:color w:val="FF0000"/>
          <w:sz w:val="22"/>
          <w:szCs w:val="22"/>
        </w:rPr>
        <w:t>“</w:t>
      </w:r>
      <w:r w:rsidRPr="000834B8">
        <w:rPr>
          <w:i/>
          <w:color w:val="FF0000"/>
          <w:sz w:val="22"/>
          <w:szCs w:val="22"/>
        </w:rPr>
        <w:t>(d) Absorption coefficient spectrum calculated from density functional theory (DFT) calculations (red) and GW calculations (blue), performed within the independent-particle approximation (i.e. without considering electron-hole Coulomb interactions). Absorption coefficients have been scaled along the energy axis to make the onset coincide with the experimental value E</w:t>
      </w:r>
      <w:r w:rsidRPr="000834B8">
        <w:rPr>
          <w:i/>
          <w:color w:val="FF0000"/>
          <w:sz w:val="22"/>
          <w:szCs w:val="22"/>
          <w:vertAlign w:val="subscript"/>
        </w:rPr>
        <w:t>G</w:t>
      </w:r>
      <w:r w:rsidRPr="000834B8">
        <w:rPr>
          <w:i/>
          <w:color w:val="FF0000"/>
          <w:sz w:val="22"/>
          <w:szCs w:val="22"/>
        </w:rPr>
        <w:t>, but not scaled in the magnitude of the coefficient.”</w:t>
      </w:r>
      <w:r w:rsidRPr="000834B8">
        <w:rPr>
          <w:color w:val="FF0000"/>
          <w:sz w:val="22"/>
          <w:szCs w:val="22"/>
        </w:rPr>
        <w:t>]</w:t>
      </w:r>
    </w:p>
    <w:p w14:paraId="1D670F86" w14:textId="77777777" w:rsidR="00E63EB7" w:rsidRPr="000834B8" w:rsidRDefault="00E63EB7" w:rsidP="00E63EB7">
      <w:pPr>
        <w:rPr>
          <w:color w:val="FF0000"/>
          <w:sz w:val="22"/>
          <w:szCs w:val="22"/>
        </w:rPr>
      </w:pPr>
    </w:p>
    <w:p w14:paraId="15CB4DAA" w14:textId="046BB72E" w:rsidR="00E63EB7" w:rsidRPr="000834B8" w:rsidRDefault="00E63EB7" w:rsidP="00E63EB7">
      <w:pPr>
        <w:rPr>
          <w:color w:val="FF0000"/>
          <w:sz w:val="22"/>
          <w:szCs w:val="22"/>
        </w:rPr>
      </w:pPr>
      <w:r w:rsidRPr="000834B8">
        <w:rPr>
          <w:color w:val="FF0000"/>
          <w:sz w:val="22"/>
          <w:szCs w:val="22"/>
        </w:rPr>
        <w:t xml:space="preserve">With: “Absorption coefficient </w:t>
      </w:r>
      <w:r w:rsidR="0040491A">
        <w:rPr>
          <w:color w:val="FF0000"/>
          <w:sz w:val="22"/>
          <w:szCs w:val="22"/>
        </w:rPr>
        <w:t xml:space="preserve">spectrum </w:t>
      </w:r>
      <w:r w:rsidRPr="000834B8">
        <w:rPr>
          <w:color w:val="FF0000"/>
          <w:sz w:val="22"/>
          <w:szCs w:val="22"/>
        </w:rPr>
        <w:t>calculated from density functional theory (DFT) calculations (black), and GW calculations (blue) within the independent-particle approximation (i.e. without considering electron-hole Coulomb interactions).  We report results using scaled (solid) and un-scaled (dashed) dipole matrix elements, as derived using Equations 4 and 5 given in the Supplementary Information.  The light blue region represents the uncertainty in the magnitude of the optical absorption spectrum owing to the approximate calculation of the dipole matrix elements.  The functions have been shifted along the energy axis to make the onset coincide with the experimental value of E</w:t>
      </w:r>
      <w:r w:rsidRPr="000834B8">
        <w:rPr>
          <w:color w:val="FF0000"/>
          <w:sz w:val="22"/>
          <w:szCs w:val="22"/>
          <w:vertAlign w:val="subscript"/>
        </w:rPr>
        <w:t>G</w:t>
      </w:r>
      <w:r w:rsidRPr="000834B8">
        <w:rPr>
          <w:color w:val="FF0000"/>
          <w:sz w:val="22"/>
          <w:szCs w:val="22"/>
        </w:rPr>
        <w:t>.”</w:t>
      </w:r>
    </w:p>
    <w:p w14:paraId="336F3F43" w14:textId="77777777" w:rsidR="00E63EB7" w:rsidRPr="000834B8" w:rsidRDefault="00E63EB7" w:rsidP="00E63EB7">
      <w:pPr>
        <w:rPr>
          <w:color w:val="FF0000"/>
          <w:sz w:val="22"/>
          <w:szCs w:val="22"/>
        </w:rPr>
      </w:pPr>
    </w:p>
    <w:p w14:paraId="4DDAB246" w14:textId="77777777" w:rsidR="00E63EB7" w:rsidRPr="000834B8" w:rsidRDefault="00E63EB7" w:rsidP="00E63EB7">
      <w:pPr>
        <w:rPr>
          <w:color w:val="FF0000"/>
          <w:sz w:val="22"/>
          <w:szCs w:val="22"/>
        </w:rPr>
      </w:pPr>
    </w:p>
    <w:p w14:paraId="59F60577" w14:textId="77777777" w:rsidR="00E63EB7" w:rsidRPr="000834B8" w:rsidRDefault="00E63EB7" w:rsidP="00E63EB7">
      <w:pPr>
        <w:rPr>
          <w:color w:val="FF0000"/>
          <w:sz w:val="22"/>
          <w:szCs w:val="22"/>
        </w:rPr>
      </w:pPr>
      <w:r w:rsidRPr="000834B8">
        <w:rPr>
          <w:color w:val="FF0000"/>
          <w:sz w:val="22"/>
          <w:szCs w:val="22"/>
        </w:rPr>
        <w:t>Changes made:</w:t>
      </w:r>
    </w:p>
    <w:p w14:paraId="4E3C7E7F" w14:textId="77777777" w:rsidR="00E63EB7" w:rsidRPr="000834B8" w:rsidRDefault="00E63EB7" w:rsidP="00E63EB7">
      <w:pPr>
        <w:rPr>
          <w:color w:val="FF0000"/>
          <w:sz w:val="22"/>
          <w:szCs w:val="22"/>
        </w:rPr>
      </w:pPr>
      <w:r w:rsidRPr="000834B8">
        <w:rPr>
          <w:color w:val="FF0000"/>
          <w:sz w:val="22"/>
          <w:szCs w:val="22"/>
        </w:rPr>
        <w:t>On page 22, caption for Figure 2c:</w:t>
      </w:r>
    </w:p>
    <w:p w14:paraId="01CDA6EE" w14:textId="77777777" w:rsidR="00E63EB7" w:rsidRPr="000834B8" w:rsidRDefault="00E63EB7" w:rsidP="00E63EB7">
      <w:pPr>
        <w:rPr>
          <w:color w:val="FF0000"/>
          <w:sz w:val="22"/>
          <w:szCs w:val="22"/>
        </w:rPr>
      </w:pPr>
      <w:r w:rsidRPr="000834B8">
        <w:rPr>
          <w:color w:val="FF0000"/>
          <w:sz w:val="22"/>
          <w:szCs w:val="22"/>
        </w:rPr>
        <w:t>Added after: [“</w:t>
      </w:r>
      <w:r w:rsidRPr="000834B8">
        <w:rPr>
          <w:i/>
          <w:color w:val="FF0000"/>
          <w:sz w:val="22"/>
          <w:szCs w:val="22"/>
        </w:rPr>
        <w:t>… at different k-points in the Brillouin zone”</w:t>
      </w:r>
      <w:r w:rsidRPr="000834B8">
        <w:rPr>
          <w:color w:val="FF0000"/>
          <w:sz w:val="22"/>
          <w:szCs w:val="22"/>
        </w:rPr>
        <w:t>], “using Equation 3 of the Supplementary Information.” [</w:t>
      </w:r>
      <w:proofErr w:type="gramStart"/>
      <w:r w:rsidRPr="000834B8">
        <w:rPr>
          <w:strike/>
          <w:color w:val="FF0000"/>
          <w:sz w:val="22"/>
          <w:szCs w:val="22"/>
        </w:rPr>
        <w:t xml:space="preserve">and </w:t>
      </w:r>
      <w:r w:rsidRPr="000834B8">
        <w:rPr>
          <w:color w:val="FF0000"/>
          <w:sz w:val="22"/>
          <w:szCs w:val="22"/>
        </w:rPr>
        <w:t xml:space="preserve"> </w:t>
      </w:r>
      <w:r w:rsidRPr="000834B8">
        <w:rPr>
          <w:i/>
          <w:color w:val="FF0000"/>
          <w:sz w:val="22"/>
          <w:szCs w:val="22"/>
        </w:rPr>
        <w:t>The</w:t>
      </w:r>
      <w:proofErr w:type="gramEnd"/>
      <w:r w:rsidRPr="000834B8">
        <w:rPr>
          <w:i/>
          <w:color w:val="FF0000"/>
          <w:sz w:val="22"/>
          <w:szCs w:val="22"/>
        </w:rPr>
        <w:t xml:space="preserve"> blue lines show …</w:t>
      </w:r>
      <w:r w:rsidRPr="000834B8">
        <w:rPr>
          <w:color w:val="FF0000"/>
          <w:sz w:val="22"/>
          <w:szCs w:val="22"/>
        </w:rPr>
        <w:t>]</w:t>
      </w:r>
    </w:p>
    <w:p w14:paraId="4989B54D" w14:textId="77777777" w:rsidR="00E63EB7" w:rsidRPr="000834B8" w:rsidRDefault="00E63EB7" w:rsidP="00E63EB7">
      <w:pPr>
        <w:rPr>
          <w:color w:val="FF0000"/>
          <w:sz w:val="22"/>
          <w:szCs w:val="22"/>
        </w:rPr>
      </w:pPr>
    </w:p>
    <w:p w14:paraId="42FD37B2" w14:textId="77777777" w:rsidR="00E63EB7" w:rsidRPr="000834B8" w:rsidRDefault="00E63EB7" w:rsidP="00E63EB7">
      <w:pPr>
        <w:rPr>
          <w:color w:val="FF0000"/>
          <w:sz w:val="22"/>
          <w:szCs w:val="22"/>
        </w:rPr>
      </w:pPr>
    </w:p>
    <w:p w14:paraId="074E87A7" w14:textId="77777777" w:rsidR="00E63EB7" w:rsidRPr="000834B8" w:rsidRDefault="00E63EB7" w:rsidP="00E63EB7">
      <w:pPr>
        <w:rPr>
          <w:color w:val="FF0000"/>
          <w:sz w:val="22"/>
          <w:szCs w:val="22"/>
        </w:rPr>
      </w:pPr>
      <w:r w:rsidRPr="000834B8">
        <w:rPr>
          <w:color w:val="FF0000"/>
          <w:sz w:val="22"/>
          <w:szCs w:val="22"/>
        </w:rPr>
        <w:t>Changes made:</w:t>
      </w:r>
    </w:p>
    <w:p w14:paraId="6AB6B8EE" w14:textId="77777777" w:rsidR="00E63EB7" w:rsidRPr="000834B8" w:rsidRDefault="00E63EB7" w:rsidP="00E63EB7">
      <w:pPr>
        <w:rPr>
          <w:color w:val="FF0000"/>
          <w:sz w:val="22"/>
          <w:szCs w:val="22"/>
        </w:rPr>
      </w:pPr>
      <w:r w:rsidRPr="000834B8">
        <w:rPr>
          <w:color w:val="FF0000"/>
          <w:sz w:val="22"/>
          <w:szCs w:val="22"/>
        </w:rPr>
        <w:t>On page 9, paragraph 2:</w:t>
      </w:r>
    </w:p>
    <w:p w14:paraId="7EE16331" w14:textId="77777777" w:rsidR="00E63EB7" w:rsidRPr="000834B8" w:rsidRDefault="00E63EB7" w:rsidP="00E63EB7">
      <w:pPr>
        <w:rPr>
          <w:color w:val="FF0000"/>
          <w:sz w:val="22"/>
          <w:szCs w:val="22"/>
        </w:rPr>
      </w:pPr>
      <w:r w:rsidRPr="000834B8">
        <w:rPr>
          <w:color w:val="FF0000"/>
          <w:sz w:val="22"/>
          <w:szCs w:val="22"/>
        </w:rPr>
        <w:t>Replaced: [“</w:t>
      </w:r>
      <w:r w:rsidRPr="000834B8">
        <w:rPr>
          <w:i/>
          <w:color w:val="FF0000"/>
          <w:sz w:val="22"/>
          <w:szCs w:val="22"/>
        </w:rPr>
        <w:t>Our rigorous evaluation of all factors contributing to the absorption allows us to derive the absorption coefficient spectrum entirely from ab initio calculations as shown in Figure 2d for both DFT and GW approximations. Spectra derived from DFT and GW calculations are shifted in energy to coincide with the extracted band gap but have not been scaled. Comparison with experimental data (Fig. 1b) shows that the calculations agree well with the experiment, suggesting that inclusion of band non-</w:t>
      </w:r>
      <w:proofErr w:type="spellStart"/>
      <w:r w:rsidRPr="000834B8">
        <w:rPr>
          <w:i/>
          <w:color w:val="FF0000"/>
          <w:sz w:val="22"/>
          <w:szCs w:val="22"/>
        </w:rPr>
        <w:t>parabolicity</w:t>
      </w:r>
      <w:proofErr w:type="spellEnd"/>
      <w:r w:rsidRPr="000834B8">
        <w:rPr>
          <w:i/>
          <w:color w:val="FF0000"/>
          <w:sz w:val="22"/>
          <w:szCs w:val="22"/>
        </w:rPr>
        <w:t>, higher-lying transitions and the correct functional dependence of the matrix element allows an accurate evaluation of the free-charge absorption coefficient spectrum of CH</w:t>
      </w:r>
      <w:r w:rsidRPr="0040491A">
        <w:rPr>
          <w:i/>
          <w:color w:val="FF0000"/>
          <w:sz w:val="22"/>
          <w:szCs w:val="22"/>
          <w:vertAlign w:val="subscript"/>
        </w:rPr>
        <w:t>3</w:t>
      </w:r>
      <w:r w:rsidRPr="000834B8">
        <w:rPr>
          <w:i/>
          <w:color w:val="FF0000"/>
          <w:sz w:val="22"/>
          <w:szCs w:val="22"/>
        </w:rPr>
        <w:t>NH</w:t>
      </w:r>
      <w:r w:rsidRPr="0040491A">
        <w:rPr>
          <w:i/>
          <w:color w:val="FF0000"/>
          <w:sz w:val="22"/>
          <w:szCs w:val="22"/>
          <w:vertAlign w:val="subscript"/>
        </w:rPr>
        <w:t>3</w:t>
      </w:r>
      <w:r w:rsidRPr="000834B8">
        <w:rPr>
          <w:i/>
          <w:color w:val="FF0000"/>
          <w:sz w:val="22"/>
          <w:szCs w:val="22"/>
        </w:rPr>
        <w:t>PbI</w:t>
      </w:r>
      <w:r w:rsidRPr="0040491A">
        <w:rPr>
          <w:i/>
          <w:color w:val="FF0000"/>
          <w:sz w:val="22"/>
          <w:szCs w:val="22"/>
          <w:vertAlign w:val="subscript"/>
        </w:rPr>
        <w:t>3</w:t>
      </w:r>
      <w:proofErr w:type="gramStart"/>
      <w:r w:rsidRPr="000834B8">
        <w:rPr>
          <w:i/>
          <w:color w:val="FF0000"/>
          <w:sz w:val="22"/>
          <w:szCs w:val="22"/>
        </w:rPr>
        <w:t>.</w:t>
      </w:r>
      <w:r w:rsidRPr="000834B8">
        <w:rPr>
          <w:color w:val="FF0000"/>
          <w:sz w:val="22"/>
          <w:szCs w:val="22"/>
        </w:rPr>
        <w:t xml:space="preserve"> ”</w:t>
      </w:r>
      <w:proofErr w:type="gramEnd"/>
      <w:r w:rsidRPr="000834B8">
        <w:rPr>
          <w:color w:val="FF0000"/>
          <w:sz w:val="22"/>
          <w:szCs w:val="22"/>
        </w:rPr>
        <w:t>]</w:t>
      </w:r>
    </w:p>
    <w:p w14:paraId="27A73BC0" w14:textId="77777777" w:rsidR="00E63EB7" w:rsidRPr="000834B8" w:rsidRDefault="00E63EB7" w:rsidP="00E63EB7">
      <w:pPr>
        <w:rPr>
          <w:color w:val="FF0000"/>
          <w:sz w:val="22"/>
          <w:szCs w:val="22"/>
        </w:rPr>
      </w:pPr>
    </w:p>
    <w:p w14:paraId="55ABEC6C" w14:textId="77777777" w:rsidR="00E63EB7" w:rsidRPr="000834B8" w:rsidRDefault="00E63EB7" w:rsidP="00E63EB7">
      <w:pPr>
        <w:rPr>
          <w:color w:val="FF0000"/>
          <w:sz w:val="22"/>
          <w:szCs w:val="22"/>
        </w:rPr>
      </w:pPr>
      <w:r w:rsidRPr="000834B8">
        <w:rPr>
          <w:color w:val="FF0000"/>
          <w:sz w:val="22"/>
          <w:szCs w:val="22"/>
        </w:rPr>
        <w:t xml:space="preserve">With: </w:t>
      </w:r>
    </w:p>
    <w:p w14:paraId="3F99C380" w14:textId="01D5612F" w:rsidR="00E63EB7" w:rsidRPr="000834B8" w:rsidRDefault="00E63EB7" w:rsidP="00E63EB7">
      <w:pPr>
        <w:rPr>
          <w:color w:val="FF0000"/>
          <w:sz w:val="22"/>
          <w:szCs w:val="22"/>
        </w:rPr>
      </w:pPr>
      <w:r w:rsidRPr="000834B8">
        <w:rPr>
          <w:color w:val="FF0000"/>
          <w:sz w:val="22"/>
          <w:szCs w:val="22"/>
        </w:rPr>
        <w:t>“Our rigorous evaluation of all factors contributing to the absorption allows us to derive the absorption coefficient entirely from ab initio calculations (see Supplementary Information), as shown in Figure 2d for both DFT and GW approximations. An accurate calculation of the absorption coefficient within the GW approximation requires the inclusion of the off-diagonal terms of the quasiparticle self-energy, which is computationally prohibitive for the case of CH</w:t>
      </w:r>
      <w:r w:rsidRPr="000834B8">
        <w:rPr>
          <w:color w:val="FF0000"/>
          <w:sz w:val="22"/>
          <w:szCs w:val="22"/>
          <w:vertAlign w:val="subscript"/>
        </w:rPr>
        <w:t>3</w:t>
      </w:r>
      <w:r w:rsidRPr="000834B8">
        <w:rPr>
          <w:color w:val="FF0000"/>
          <w:sz w:val="22"/>
          <w:szCs w:val="22"/>
        </w:rPr>
        <w:t>NH</w:t>
      </w:r>
      <w:r w:rsidRPr="000834B8">
        <w:rPr>
          <w:color w:val="FF0000"/>
          <w:sz w:val="22"/>
          <w:szCs w:val="22"/>
          <w:vertAlign w:val="subscript"/>
        </w:rPr>
        <w:t>3</w:t>
      </w:r>
      <w:r w:rsidRPr="000834B8">
        <w:rPr>
          <w:color w:val="FF0000"/>
          <w:sz w:val="22"/>
          <w:szCs w:val="22"/>
        </w:rPr>
        <w:t>PbI</w:t>
      </w:r>
      <w:r w:rsidRPr="000834B8">
        <w:rPr>
          <w:color w:val="FF0000"/>
          <w:sz w:val="22"/>
          <w:szCs w:val="22"/>
          <w:vertAlign w:val="subscript"/>
        </w:rPr>
        <w:t>3</w:t>
      </w:r>
      <w:r w:rsidRPr="000834B8">
        <w:rPr>
          <w:color w:val="FF0000"/>
          <w:sz w:val="22"/>
          <w:szCs w:val="22"/>
        </w:rPr>
        <w:t xml:space="preserve">. Instead, in Figure 2d we show two limits of the GW absorption spectra obtained using the dipole matrix elements calculated from DFT, both before and after scaling with respect to the quasiparticle transition energies (see Supplementary Information). Figure 2d shows that the absorption coefficient is sensitive to scaling, and can vary by up to a factor of 4, while the shape of the spectrum does not vary significantly. Moreover, it can be shown that the f-sum rule in these two cases is either overestimated, if the matrix elements are scaled, or underestimated in the unscaled case, consistent with the respective magnitudes of the absorption coefficient shown in Figure 2d. For this reason, </w:t>
      </w:r>
      <w:r w:rsidRPr="000834B8">
        <w:rPr>
          <w:color w:val="FF0000"/>
          <w:sz w:val="22"/>
          <w:szCs w:val="22"/>
        </w:rPr>
        <w:lastRenderedPageBreak/>
        <w:t xml:space="preserve">we propose that the true absorption coefficient is bracketed by the scaled and unscaled GW spectra, which give </w:t>
      </w:r>
      <w:r w:rsidR="0040491A">
        <w:rPr>
          <w:color w:val="FF0000"/>
          <w:sz w:val="22"/>
          <w:szCs w:val="22"/>
        </w:rPr>
        <w:t>good</w:t>
      </w:r>
      <w:r w:rsidRPr="000834B8">
        <w:rPr>
          <w:color w:val="FF0000"/>
          <w:sz w:val="22"/>
          <w:szCs w:val="22"/>
        </w:rPr>
        <w:t xml:space="preserve"> agreement with the experimental data (</w:t>
      </w:r>
      <w:r w:rsidRPr="000834B8">
        <w:rPr>
          <w:color w:val="FF0000"/>
          <w:sz w:val="22"/>
          <w:szCs w:val="22"/>
          <w:lang w:val="el-GR"/>
        </w:rPr>
        <w:t>α</w:t>
      </w:r>
      <w:r w:rsidRPr="000834B8">
        <w:rPr>
          <w:color w:val="FF0000"/>
          <w:sz w:val="22"/>
          <w:szCs w:val="22"/>
          <w:vertAlign w:val="subscript"/>
        </w:rPr>
        <w:t>free</w:t>
      </w:r>
      <w:r w:rsidRPr="000834B8">
        <w:rPr>
          <w:color w:val="FF0000"/>
          <w:sz w:val="22"/>
          <w:szCs w:val="22"/>
        </w:rPr>
        <w:t>, Figure 1b). This result indicates that the inclusion of band non-</w:t>
      </w:r>
      <w:proofErr w:type="spellStart"/>
      <w:r w:rsidRPr="000834B8">
        <w:rPr>
          <w:color w:val="FF0000"/>
          <w:sz w:val="22"/>
          <w:szCs w:val="22"/>
        </w:rPr>
        <w:t>parabolicity</w:t>
      </w:r>
      <w:proofErr w:type="spellEnd"/>
      <w:r w:rsidRPr="000834B8">
        <w:rPr>
          <w:color w:val="FF0000"/>
          <w:sz w:val="22"/>
          <w:szCs w:val="22"/>
        </w:rPr>
        <w:t>, higher-lying transition and the functional dependence of the matrix element are fundamental for the accurate evaluation of the absorption coefficient in CH</w:t>
      </w:r>
      <w:r w:rsidRPr="000834B8">
        <w:rPr>
          <w:color w:val="FF0000"/>
          <w:sz w:val="22"/>
          <w:szCs w:val="22"/>
          <w:vertAlign w:val="subscript"/>
        </w:rPr>
        <w:t>3</w:t>
      </w:r>
      <w:r w:rsidRPr="000834B8">
        <w:rPr>
          <w:color w:val="FF0000"/>
          <w:sz w:val="22"/>
          <w:szCs w:val="22"/>
        </w:rPr>
        <w:t>NH</w:t>
      </w:r>
      <w:r w:rsidRPr="000834B8">
        <w:rPr>
          <w:color w:val="FF0000"/>
          <w:sz w:val="22"/>
          <w:szCs w:val="22"/>
          <w:vertAlign w:val="subscript"/>
        </w:rPr>
        <w:t>3</w:t>
      </w:r>
      <w:r w:rsidRPr="000834B8">
        <w:rPr>
          <w:color w:val="FF0000"/>
          <w:sz w:val="22"/>
          <w:szCs w:val="22"/>
        </w:rPr>
        <w:t>PbI</w:t>
      </w:r>
      <w:r w:rsidRPr="000834B8">
        <w:rPr>
          <w:color w:val="FF0000"/>
          <w:sz w:val="22"/>
          <w:szCs w:val="22"/>
          <w:vertAlign w:val="subscript"/>
        </w:rPr>
        <w:t>3</w:t>
      </w:r>
      <w:r w:rsidRPr="000834B8">
        <w:rPr>
          <w:color w:val="FF0000"/>
          <w:sz w:val="22"/>
          <w:szCs w:val="22"/>
        </w:rPr>
        <w:t>.” [</w:t>
      </w:r>
      <w:r w:rsidRPr="000834B8">
        <w:rPr>
          <w:i/>
          <w:color w:val="FF0000"/>
          <w:sz w:val="22"/>
          <w:szCs w:val="22"/>
        </w:rPr>
        <w:t>Overall ...</w:t>
      </w:r>
      <w:r w:rsidRPr="000834B8">
        <w:rPr>
          <w:color w:val="FF0000"/>
          <w:sz w:val="22"/>
          <w:szCs w:val="22"/>
        </w:rPr>
        <w:t>]</w:t>
      </w:r>
    </w:p>
    <w:p w14:paraId="08EDDE4B" w14:textId="77777777" w:rsidR="00E63EB7" w:rsidRPr="000834B8" w:rsidRDefault="00E63EB7" w:rsidP="00E63EB7">
      <w:pPr>
        <w:rPr>
          <w:color w:val="FF0000"/>
          <w:sz w:val="22"/>
          <w:szCs w:val="22"/>
        </w:rPr>
      </w:pPr>
    </w:p>
    <w:p w14:paraId="2875A017" w14:textId="77777777" w:rsidR="00E63EB7" w:rsidRPr="000834B8" w:rsidRDefault="00E63EB7" w:rsidP="00E63EB7">
      <w:pPr>
        <w:rPr>
          <w:color w:val="FF0000"/>
          <w:sz w:val="22"/>
          <w:szCs w:val="22"/>
        </w:rPr>
      </w:pPr>
    </w:p>
    <w:p w14:paraId="438B58B7" w14:textId="77777777" w:rsidR="00E63EB7" w:rsidRPr="000834B8" w:rsidRDefault="00E63EB7" w:rsidP="00E63EB7">
      <w:pPr>
        <w:rPr>
          <w:color w:val="FF0000"/>
          <w:sz w:val="22"/>
          <w:szCs w:val="22"/>
        </w:rPr>
      </w:pPr>
      <w:r w:rsidRPr="000834B8">
        <w:rPr>
          <w:color w:val="FF0000"/>
          <w:sz w:val="22"/>
          <w:szCs w:val="22"/>
        </w:rPr>
        <w:t>Changes made:</w:t>
      </w:r>
    </w:p>
    <w:p w14:paraId="53D72D76" w14:textId="77777777" w:rsidR="00E63EB7" w:rsidRPr="000834B8" w:rsidRDefault="00E63EB7" w:rsidP="00E63EB7">
      <w:pPr>
        <w:rPr>
          <w:color w:val="FF0000"/>
          <w:sz w:val="22"/>
          <w:szCs w:val="22"/>
        </w:rPr>
      </w:pPr>
      <w:r w:rsidRPr="000834B8">
        <w:rPr>
          <w:color w:val="FF0000"/>
          <w:sz w:val="22"/>
          <w:szCs w:val="22"/>
        </w:rPr>
        <w:t>Supplementary Information on page 7, paragraph 2:</w:t>
      </w:r>
    </w:p>
    <w:p w14:paraId="00F7DE90" w14:textId="77777777" w:rsidR="00E63EB7" w:rsidRPr="000834B8" w:rsidRDefault="00E63EB7" w:rsidP="00E63EB7">
      <w:pPr>
        <w:rPr>
          <w:color w:val="FF0000"/>
          <w:sz w:val="22"/>
          <w:szCs w:val="22"/>
        </w:rPr>
      </w:pPr>
      <w:r w:rsidRPr="000834B8">
        <w:rPr>
          <w:color w:val="FF0000"/>
          <w:sz w:val="22"/>
          <w:szCs w:val="22"/>
        </w:rPr>
        <w:t>Replaced: [ “</w:t>
      </w:r>
      <w:r w:rsidRPr="000834B8">
        <w:rPr>
          <w:i/>
          <w:color w:val="FF0000"/>
          <w:sz w:val="22"/>
          <w:szCs w:val="22"/>
        </w:rPr>
        <w:t>The imaginary part of the dielectric function in this case becomes: [Equation 4]</w:t>
      </w:r>
      <w:proofErr w:type="gramStart"/>
      <w:r w:rsidRPr="000834B8">
        <w:rPr>
          <w:color w:val="FF0000"/>
          <w:sz w:val="22"/>
          <w:szCs w:val="22"/>
        </w:rPr>
        <w:t>” ]</w:t>
      </w:r>
      <w:proofErr w:type="gramEnd"/>
    </w:p>
    <w:p w14:paraId="4021F3DC" w14:textId="77777777" w:rsidR="00E63EB7" w:rsidRPr="000834B8" w:rsidRDefault="00E63EB7" w:rsidP="00E63EB7">
      <w:pPr>
        <w:rPr>
          <w:color w:val="FF0000"/>
          <w:sz w:val="22"/>
          <w:szCs w:val="22"/>
        </w:rPr>
      </w:pPr>
      <w:r w:rsidRPr="000834B8">
        <w:rPr>
          <w:color w:val="FF0000"/>
          <w:sz w:val="22"/>
          <w:szCs w:val="22"/>
        </w:rPr>
        <w:t>With:</w:t>
      </w:r>
    </w:p>
    <w:p w14:paraId="71950594" w14:textId="77777777" w:rsidR="00E63EB7" w:rsidRPr="000834B8" w:rsidRDefault="00E63EB7" w:rsidP="00E63EB7">
      <w:r w:rsidRPr="000834B8">
        <w:rPr>
          <w:color w:val="FF0000"/>
          <w:sz w:val="22"/>
          <w:szCs w:val="22"/>
        </w:rPr>
        <w:t>“For comparison, we calculate the GW optical absorption spectrum using either the scaled dipole matrix elements (Equation 3) or the dipole matrix elements calculated directly from DFT, using the following two expressions:”</w:t>
      </w:r>
    </w:p>
    <w:p w14:paraId="0C820D2F" w14:textId="77777777" w:rsidR="0027012E" w:rsidRPr="000834B8" w:rsidRDefault="0027012E" w:rsidP="0027012E">
      <w:pPr>
        <w:rPr>
          <w:sz w:val="22"/>
          <w:szCs w:val="22"/>
        </w:rPr>
      </w:pPr>
    </w:p>
    <w:p w14:paraId="4E898470" w14:textId="77777777" w:rsidR="0027012E" w:rsidRPr="000834B8" w:rsidRDefault="0027012E" w:rsidP="0027012E">
      <w:pPr>
        <w:jc w:val="center"/>
        <w:rPr>
          <w:color w:val="FF0000"/>
          <w:sz w:val="22"/>
          <w:szCs w:val="22"/>
        </w:rPr>
      </w:pPr>
      <w:r w:rsidRPr="000834B8">
        <w:rPr>
          <w:noProof/>
          <w:color w:val="FF0000"/>
          <w:sz w:val="22"/>
          <w:szCs w:val="22"/>
        </w:rPr>
        <w:drawing>
          <wp:inline distT="0" distB="0" distL="0" distR="0" wp14:anchorId="00CF5F86" wp14:editId="2E9036C7">
            <wp:extent cx="4649855" cy="1019028"/>
            <wp:effectExtent l="0" t="0" r="0" b="0"/>
            <wp:docPr id="3" name="Picture 3" descr="Crucial:Users:ChrisDavies:Desktop:Screen Shot 2017-10-24 at 18.4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rucial:Users:ChrisDavies:Desktop:Screen Shot 2017-10-24 at 18.41.25.png"/>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655202" cy="1020200"/>
                    </a:xfrm>
                    <a:prstGeom prst="rect">
                      <a:avLst/>
                    </a:prstGeom>
                    <a:noFill/>
                    <a:ln>
                      <a:noFill/>
                    </a:ln>
                  </pic:spPr>
                </pic:pic>
              </a:graphicData>
            </a:graphic>
          </wp:inline>
        </w:drawing>
      </w:r>
    </w:p>
    <w:p w14:paraId="619535AA" w14:textId="77777777" w:rsidR="00575919" w:rsidRPr="000834B8" w:rsidRDefault="00575919" w:rsidP="00ED0665">
      <w:pPr>
        <w:rPr>
          <w:color w:val="008000"/>
          <w:sz w:val="22"/>
          <w:szCs w:val="22"/>
        </w:rPr>
      </w:pPr>
    </w:p>
    <w:p w14:paraId="4AB1B21B" w14:textId="77777777" w:rsidR="00ED0665" w:rsidRPr="000834B8" w:rsidRDefault="00ED0665" w:rsidP="00ED0665">
      <w:pPr>
        <w:rPr>
          <w:rFonts w:eastAsia="Times New Roman"/>
          <w:b/>
          <w:color w:val="000000"/>
          <w:sz w:val="22"/>
          <w:szCs w:val="22"/>
          <w:shd w:val="clear" w:color="auto" w:fill="FFFFFF"/>
        </w:rPr>
      </w:pPr>
      <w:r w:rsidRPr="000834B8">
        <w:rPr>
          <w:rFonts w:eastAsia="Times New Roman"/>
          <w:b/>
          <w:color w:val="000000"/>
          <w:sz w:val="22"/>
          <w:szCs w:val="22"/>
        </w:rPr>
        <w:br/>
      </w:r>
      <w:r w:rsidRPr="000834B8">
        <w:rPr>
          <w:rFonts w:eastAsia="Times New Roman"/>
          <w:b/>
          <w:color w:val="000000"/>
          <w:sz w:val="22"/>
          <w:szCs w:val="22"/>
          <w:shd w:val="clear" w:color="auto" w:fill="FFFFFF"/>
        </w:rPr>
        <w:t>• It seems to me that despite the extensive GW analysis, the theoretical data used in the calculation of the radiative recombination are the effective masses within parabolic approximation. GW is used to validate the use of Elliot's theory and harmonic approximation. It is probably better to clarify this from the beginning of the paper. Despite the analysis is supported by ab initio GW data, nevertheless the enhancement factor cannot be determined a priori but it practically acts as a fitting parameter. </w:t>
      </w:r>
    </w:p>
    <w:p w14:paraId="15FF0770" w14:textId="77777777" w:rsidR="00ED0665" w:rsidRPr="000834B8" w:rsidRDefault="00ED0665" w:rsidP="00ED0665">
      <w:pPr>
        <w:rPr>
          <w:rFonts w:eastAsia="Times New Roman"/>
          <w:b/>
          <w:color w:val="000000"/>
          <w:sz w:val="22"/>
          <w:szCs w:val="22"/>
          <w:shd w:val="clear" w:color="auto" w:fill="FFFFFF"/>
        </w:rPr>
      </w:pPr>
    </w:p>
    <w:p w14:paraId="408F6349" w14:textId="77777777" w:rsidR="00ED0665" w:rsidRPr="000834B8" w:rsidRDefault="00ED0665" w:rsidP="00ED0665">
      <w:pPr>
        <w:rPr>
          <w:sz w:val="22"/>
          <w:szCs w:val="22"/>
        </w:rPr>
      </w:pPr>
      <w:r w:rsidRPr="000834B8">
        <w:rPr>
          <w:sz w:val="22"/>
          <w:szCs w:val="22"/>
        </w:rPr>
        <w:t xml:space="preserve">Author reply: </w:t>
      </w:r>
    </w:p>
    <w:p w14:paraId="2EE0D159" w14:textId="3C326415" w:rsidR="00220BF2" w:rsidRDefault="006C667F" w:rsidP="00ED0665">
      <w:pPr>
        <w:rPr>
          <w:sz w:val="22"/>
          <w:szCs w:val="22"/>
        </w:rPr>
      </w:pPr>
      <w:r w:rsidRPr="000834B8">
        <w:rPr>
          <w:sz w:val="22"/>
          <w:szCs w:val="22"/>
        </w:rPr>
        <w:t>We are in complete agreement with the referee that the GW analysis is used to validate the use of Elliott’s theory and define a range of energies over which the theory is applicable.</w:t>
      </w:r>
      <w:r w:rsidR="00847F7F" w:rsidRPr="000834B8">
        <w:rPr>
          <w:sz w:val="22"/>
          <w:szCs w:val="22"/>
        </w:rPr>
        <w:t xml:space="preserve">  </w:t>
      </w:r>
      <w:r w:rsidR="00CB4000" w:rsidRPr="000834B8">
        <w:rPr>
          <w:sz w:val="22"/>
          <w:szCs w:val="22"/>
        </w:rPr>
        <w:t>As requested, w</w:t>
      </w:r>
      <w:r w:rsidR="00847F7F" w:rsidRPr="000834B8">
        <w:rPr>
          <w:sz w:val="22"/>
          <w:szCs w:val="22"/>
        </w:rPr>
        <w:t>e have</w:t>
      </w:r>
      <w:r w:rsidR="00CB4000" w:rsidRPr="000834B8">
        <w:rPr>
          <w:sz w:val="22"/>
          <w:szCs w:val="22"/>
        </w:rPr>
        <w:t xml:space="preserve"> now</w:t>
      </w:r>
      <w:r w:rsidR="00847F7F" w:rsidRPr="000834B8">
        <w:rPr>
          <w:sz w:val="22"/>
          <w:szCs w:val="22"/>
        </w:rPr>
        <w:t xml:space="preserve"> added a statement </w:t>
      </w:r>
      <w:r w:rsidR="00CB4000" w:rsidRPr="000834B8">
        <w:rPr>
          <w:sz w:val="22"/>
          <w:szCs w:val="22"/>
        </w:rPr>
        <w:t xml:space="preserve">early in the article </w:t>
      </w:r>
      <w:r w:rsidR="00847F7F" w:rsidRPr="000834B8">
        <w:rPr>
          <w:sz w:val="22"/>
          <w:szCs w:val="22"/>
        </w:rPr>
        <w:t>to clarify this</w:t>
      </w:r>
      <w:r w:rsidR="009A4C69" w:rsidRPr="000834B8">
        <w:rPr>
          <w:sz w:val="22"/>
          <w:szCs w:val="22"/>
        </w:rPr>
        <w:t xml:space="preserve"> </w:t>
      </w:r>
      <w:r w:rsidR="00FE72A8" w:rsidRPr="000834B8">
        <w:rPr>
          <w:sz w:val="22"/>
          <w:szCs w:val="22"/>
        </w:rPr>
        <w:t>fully right from the start</w:t>
      </w:r>
      <w:r w:rsidR="009A4C69" w:rsidRPr="000834B8">
        <w:rPr>
          <w:sz w:val="22"/>
          <w:szCs w:val="22"/>
        </w:rPr>
        <w:t>.</w:t>
      </w:r>
      <w:r w:rsidR="000D5911" w:rsidRPr="000834B8">
        <w:rPr>
          <w:sz w:val="22"/>
          <w:szCs w:val="22"/>
        </w:rPr>
        <w:t xml:space="preserve">  </w:t>
      </w:r>
    </w:p>
    <w:p w14:paraId="59D4B965" w14:textId="77777777" w:rsidR="00C0662A" w:rsidRPr="000834B8" w:rsidRDefault="00C0662A" w:rsidP="00ED0665">
      <w:pPr>
        <w:rPr>
          <w:sz w:val="22"/>
          <w:szCs w:val="22"/>
        </w:rPr>
      </w:pPr>
    </w:p>
    <w:p w14:paraId="562F1370" w14:textId="77777777" w:rsidR="00220BF2" w:rsidRPr="000834B8" w:rsidRDefault="00220BF2" w:rsidP="00220BF2">
      <w:pPr>
        <w:rPr>
          <w:color w:val="FF0000"/>
          <w:sz w:val="22"/>
          <w:szCs w:val="22"/>
        </w:rPr>
      </w:pPr>
      <w:r w:rsidRPr="000834B8">
        <w:rPr>
          <w:color w:val="FF0000"/>
          <w:sz w:val="22"/>
          <w:szCs w:val="22"/>
        </w:rPr>
        <w:t>Changes made:</w:t>
      </w:r>
    </w:p>
    <w:p w14:paraId="67098D43" w14:textId="743656B0" w:rsidR="00220BF2" w:rsidRPr="000834B8" w:rsidRDefault="00E63A18" w:rsidP="00220BF2">
      <w:pPr>
        <w:rPr>
          <w:color w:val="FF0000"/>
          <w:sz w:val="22"/>
          <w:szCs w:val="22"/>
        </w:rPr>
      </w:pPr>
      <w:r w:rsidRPr="000834B8">
        <w:rPr>
          <w:color w:val="FF0000"/>
          <w:sz w:val="22"/>
          <w:szCs w:val="22"/>
        </w:rPr>
        <w:t>On page 4 paragraph 2</w:t>
      </w:r>
      <w:r w:rsidR="00220BF2" w:rsidRPr="000834B8">
        <w:rPr>
          <w:color w:val="FF0000"/>
          <w:sz w:val="22"/>
          <w:szCs w:val="22"/>
        </w:rPr>
        <w:t xml:space="preserve">: Added </w:t>
      </w:r>
      <w:r w:rsidR="00362B2E" w:rsidRPr="000834B8">
        <w:rPr>
          <w:color w:val="FF0000"/>
          <w:sz w:val="22"/>
          <w:szCs w:val="22"/>
        </w:rPr>
        <w:t>after [</w:t>
      </w:r>
      <w:r w:rsidR="00362B2E" w:rsidRPr="000834B8">
        <w:rPr>
          <w:i/>
          <w:color w:val="FF0000"/>
          <w:sz w:val="22"/>
          <w:szCs w:val="22"/>
        </w:rPr>
        <w:t>… With the help of insights gained from ab initio ca</w:t>
      </w:r>
      <w:r w:rsidR="006020BB" w:rsidRPr="000834B8">
        <w:rPr>
          <w:i/>
          <w:color w:val="FF0000"/>
          <w:sz w:val="22"/>
          <w:szCs w:val="22"/>
        </w:rPr>
        <w:t>l</w:t>
      </w:r>
      <w:r w:rsidR="00362B2E" w:rsidRPr="000834B8">
        <w:rPr>
          <w:i/>
          <w:color w:val="FF0000"/>
          <w:sz w:val="22"/>
          <w:szCs w:val="22"/>
        </w:rPr>
        <w:t>culations</w:t>
      </w:r>
      <w:r w:rsidR="00362B2E" w:rsidRPr="000834B8">
        <w:rPr>
          <w:color w:val="FF0000"/>
          <w:sz w:val="22"/>
          <w:szCs w:val="22"/>
        </w:rPr>
        <w:t xml:space="preserve">] </w:t>
      </w:r>
      <w:r w:rsidR="00220BF2" w:rsidRPr="000834B8">
        <w:rPr>
          <w:color w:val="FF0000"/>
          <w:sz w:val="22"/>
          <w:szCs w:val="22"/>
        </w:rPr>
        <w:t>“</w:t>
      </w:r>
      <w:r w:rsidR="00362B2E" w:rsidRPr="000834B8">
        <w:rPr>
          <w:color w:val="FF0000"/>
          <w:sz w:val="22"/>
          <w:szCs w:val="22"/>
        </w:rPr>
        <w:t>regarding the validity and applicability of Elliott’s theory to CH</w:t>
      </w:r>
      <w:r w:rsidR="00362B2E" w:rsidRPr="000834B8">
        <w:rPr>
          <w:color w:val="FF0000"/>
          <w:sz w:val="22"/>
          <w:szCs w:val="22"/>
          <w:vertAlign w:val="subscript"/>
        </w:rPr>
        <w:t>3</w:t>
      </w:r>
      <w:r w:rsidR="00362B2E" w:rsidRPr="000834B8">
        <w:rPr>
          <w:color w:val="FF0000"/>
          <w:sz w:val="22"/>
          <w:szCs w:val="22"/>
        </w:rPr>
        <w:t>NH</w:t>
      </w:r>
      <w:r w:rsidR="00362B2E" w:rsidRPr="000834B8">
        <w:rPr>
          <w:color w:val="FF0000"/>
          <w:sz w:val="22"/>
          <w:szCs w:val="22"/>
          <w:vertAlign w:val="subscript"/>
        </w:rPr>
        <w:t>3</w:t>
      </w:r>
      <w:r w:rsidR="00362B2E" w:rsidRPr="000834B8">
        <w:rPr>
          <w:color w:val="FF0000"/>
          <w:sz w:val="22"/>
          <w:szCs w:val="22"/>
        </w:rPr>
        <w:t>PbI</w:t>
      </w:r>
      <w:r w:rsidR="00362B2E" w:rsidRPr="000834B8">
        <w:rPr>
          <w:color w:val="FF0000"/>
          <w:sz w:val="22"/>
          <w:szCs w:val="22"/>
          <w:vertAlign w:val="subscript"/>
        </w:rPr>
        <w:t>3</w:t>
      </w:r>
      <w:r w:rsidR="00362B2E" w:rsidRPr="000834B8">
        <w:rPr>
          <w:color w:val="FF0000"/>
          <w:sz w:val="22"/>
          <w:szCs w:val="22"/>
        </w:rPr>
        <w:t>,</w:t>
      </w:r>
      <w:r w:rsidR="00220BF2" w:rsidRPr="000834B8">
        <w:rPr>
          <w:color w:val="FF0000"/>
          <w:sz w:val="22"/>
          <w:szCs w:val="22"/>
        </w:rPr>
        <w:t>”</w:t>
      </w:r>
      <w:r w:rsidR="00362B2E" w:rsidRPr="000834B8">
        <w:rPr>
          <w:color w:val="FF0000"/>
          <w:sz w:val="22"/>
          <w:szCs w:val="22"/>
        </w:rPr>
        <w:t xml:space="preserve"> [</w:t>
      </w:r>
      <w:r w:rsidR="0085139B" w:rsidRPr="000834B8">
        <w:rPr>
          <w:color w:val="FF0000"/>
          <w:sz w:val="22"/>
          <w:szCs w:val="22"/>
        </w:rPr>
        <w:t xml:space="preserve">we are able to </w:t>
      </w:r>
      <w:r w:rsidR="00362B2E" w:rsidRPr="000834B8">
        <w:rPr>
          <w:color w:val="FF0000"/>
          <w:sz w:val="22"/>
          <w:szCs w:val="22"/>
        </w:rPr>
        <w:t>…]</w:t>
      </w:r>
    </w:p>
    <w:p w14:paraId="09B3EA45" w14:textId="77777777" w:rsidR="00220BF2" w:rsidRPr="000834B8" w:rsidRDefault="00220BF2" w:rsidP="00ED0665">
      <w:pPr>
        <w:rPr>
          <w:sz w:val="22"/>
          <w:szCs w:val="22"/>
        </w:rPr>
      </w:pPr>
    </w:p>
    <w:p w14:paraId="57E0C255" w14:textId="7E2F5CD9" w:rsidR="00ED0665" w:rsidRPr="000834B8" w:rsidRDefault="006020BB" w:rsidP="00ED0665">
      <w:pPr>
        <w:rPr>
          <w:sz w:val="22"/>
          <w:szCs w:val="22"/>
        </w:rPr>
      </w:pPr>
      <w:r w:rsidRPr="000834B8">
        <w:rPr>
          <w:sz w:val="22"/>
          <w:szCs w:val="22"/>
        </w:rPr>
        <w:t>We would also like to clarify that t</w:t>
      </w:r>
      <w:r w:rsidR="000D5911" w:rsidRPr="000834B8">
        <w:rPr>
          <w:sz w:val="22"/>
          <w:szCs w:val="22"/>
        </w:rPr>
        <w:t>he enhancement factor is not a</w:t>
      </w:r>
      <w:r w:rsidRPr="000834B8">
        <w:rPr>
          <w:sz w:val="22"/>
          <w:szCs w:val="22"/>
        </w:rPr>
        <w:t>n independent</w:t>
      </w:r>
      <w:r w:rsidR="000D5911" w:rsidRPr="000834B8">
        <w:rPr>
          <w:sz w:val="22"/>
          <w:szCs w:val="22"/>
        </w:rPr>
        <w:t xml:space="preserve"> fitting parameter, </w:t>
      </w:r>
      <w:r w:rsidRPr="000834B8">
        <w:rPr>
          <w:sz w:val="22"/>
          <w:szCs w:val="22"/>
        </w:rPr>
        <w:t xml:space="preserve">but rather </w:t>
      </w:r>
      <w:r w:rsidR="000D5911" w:rsidRPr="000834B8">
        <w:rPr>
          <w:sz w:val="22"/>
          <w:szCs w:val="22"/>
        </w:rPr>
        <w:t xml:space="preserve">a function of energy that depends on the binding energy and band gap, </w:t>
      </w:r>
      <w:r w:rsidRPr="000834B8">
        <w:rPr>
          <w:sz w:val="22"/>
          <w:szCs w:val="22"/>
        </w:rPr>
        <w:t>as</w:t>
      </w:r>
      <w:r w:rsidR="000D5911" w:rsidRPr="000834B8">
        <w:rPr>
          <w:sz w:val="22"/>
          <w:szCs w:val="22"/>
        </w:rPr>
        <w:t xml:space="preserve"> detailed in the </w:t>
      </w:r>
      <w:r w:rsidR="00B210AD" w:rsidRPr="000834B8">
        <w:rPr>
          <w:sz w:val="22"/>
          <w:szCs w:val="22"/>
        </w:rPr>
        <w:t>Supplementary</w:t>
      </w:r>
      <w:r w:rsidR="000D5911" w:rsidRPr="000834B8">
        <w:rPr>
          <w:sz w:val="22"/>
          <w:szCs w:val="22"/>
        </w:rPr>
        <w:t xml:space="preserve"> Information pages 10 and 11.</w:t>
      </w:r>
      <w:r w:rsidR="006351B5" w:rsidRPr="000834B8">
        <w:rPr>
          <w:sz w:val="22"/>
          <w:szCs w:val="22"/>
        </w:rPr>
        <w:t xml:space="preserve">  </w:t>
      </w:r>
      <w:r w:rsidRPr="000834B8">
        <w:rPr>
          <w:sz w:val="22"/>
          <w:szCs w:val="22"/>
        </w:rPr>
        <w:t>Successful fits to</w:t>
      </w:r>
      <w:r w:rsidR="006351B5" w:rsidRPr="000834B8">
        <w:rPr>
          <w:sz w:val="22"/>
          <w:szCs w:val="22"/>
        </w:rPr>
        <w:t xml:space="preserve"> the measured absorption spectrum (</w:t>
      </w:r>
      <w:r w:rsidR="006351B5" w:rsidRPr="000834B8">
        <w:rPr>
          <w:sz w:val="22"/>
          <w:szCs w:val="22"/>
          <w:lang w:val="el-GR"/>
        </w:rPr>
        <w:t>α</w:t>
      </w:r>
      <w:r w:rsidR="006351B5" w:rsidRPr="000834B8">
        <w:rPr>
          <w:sz w:val="22"/>
          <w:szCs w:val="22"/>
          <w:vertAlign w:val="subscript"/>
        </w:rPr>
        <w:t>C</w:t>
      </w:r>
      <w:r w:rsidR="006351B5" w:rsidRPr="000834B8">
        <w:rPr>
          <w:sz w:val="22"/>
          <w:szCs w:val="22"/>
        </w:rPr>
        <w:t xml:space="preserve">) </w:t>
      </w:r>
      <w:r w:rsidRPr="000834B8">
        <w:rPr>
          <w:sz w:val="22"/>
          <w:szCs w:val="22"/>
        </w:rPr>
        <w:t xml:space="preserve">yield values for the exciton binding energy and band gap from which the </w:t>
      </w:r>
      <w:r w:rsidR="006351B5" w:rsidRPr="000834B8">
        <w:rPr>
          <w:sz w:val="22"/>
          <w:szCs w:val="22"/>
        </w:rPr>
        <w:t xml:space="preserve">absorption spectrum </w:t>
      </w:r>
      <w:r w:rsidR="006351B5" w:rsidRPr="000834B8">
        <w:rPr>
          <w:i/>
          <w:sz w:val="22"/>
          <w:szCs w:val="22"/>
        </w:rPr>
        <w:t>without</w:t>
      </w:r>
      <w:r w:rsidR="006351B5" w:rsidRPr="000834B8">
        <w:rPr>
          <w:sz w:val="22"/>
          <w:szCs w:val="22"/>
        </w:rPr>
        <w:t xml:space="preserve"> Coulombic enhancement (</w:t>
      </w:r>
      <w:r w:rsidR="006351B5" w:rsidRPr="000834B8">
        <w:rPr>
          <w:sz w:val="22"/>
          <w:szCs w:val="22"/>
          <w:lang w:val="el-GR"/>
        </w:rPr>
        <w:t>α</w:t>
      </w:r>
      <w:r w:rsidR="006351B5" w:rsidRPr="000834B8">
        <w:rPr>
          <w:sz w:val="22"/>
          <w:szCs w:val="22"/>
          <w:vertAlign w:val="subscript"/>
        </w:rPr>
        <w:t>Free</w:t>
      </w:r>
      <w:r w:rsidR="006351B5" w:rsidRPr="000834B8">
        <w:rPr>
          <w:sz w:val="22"/>
          <w:szCs w:val="22"/>
        </w:rPr>
        <w:t>)</w:t>
      </w:r>
      <w:r w:rsidRPr="000834B8">
        <w:rPr>
          <w:sz w:val="22"/>
          <w:szCs w:val="22"/>
        </w:rPr>
        <w:t xml:space="preserve"> can unambiguously be calculated without the need to invoke any further parameters</w:t>
      </w:r>
      <w:r w:rsidR="006351B5" w:rsidRPr="000834B8">
        <w:rPr>
          <w:sz w:val="22"/>
          <w:szCs w:val="22"/>
        </w:rPr>
        <w:t>.</w:t>
      </w:r>
      <w:r w:rsidRPr="000834B8">
        <w:rPr>
          <w:sz w:val="22"/>
          <w:szCs w:val="22"/>
        </w:rPr>
        <w:t xml:space="preserve"> We have now added a sentence to make this more apparent.</w:t>
      </w:r>
    </w:p>
    <w:p w14:paraId="7B257392" w14:textId="77777777" w:rsidR="006020BB" w:rsidRPr="000834B8" w:rsidRDefault="006020BB" w:rsidP="00ED0665">
      <w:pPr>
        <w:rPr>
          <w:sz w:val="22"/>
          <w:szCs w:val="22"/>
        </w:rPr>
      </w:pPr>
    </w:p>
    <w:p w14:paraId="2C522D07" w14:textId="77777777" w:rsidR="00372DC8" w:rsidRPr="000834B8" w:rsidRDefault="00372DC8" w:rsidP="00372DC8">
      <w:pPr>
        <w:rPr>
          <w:color w:val="FF0000"/>
          <w:sz w:val="22"/>
          <w:szCs w:val="22"/>
        </w:rPr>
      </w:pPr>
      <w:r w:rsidRPr="000834B8">
        <w:rPr>
          <w:color w:val="FF0000"/>
          <w:sz w:val="22"/>
          <w:szCs w:val="22"/>
        </w:rPr>
        <w:t>Changes made:</w:t>
      </w:r>
    </w:p>
    <w:p w14:paraId="67961D70" w14:textId="77777777" w:rsidR="00372DC8" w:rsidRPr="000834B8" w:rsidRDefault="00372DC8" w:rsidP="00372DC8">
      <w:pPr>
        <w:rPr>
          <w:color w:val="FF0000"/>
          <w:sz w:val="22"/>
          <w:szCs w:val="22"/>
        </w:rPr>
      </w:pPr>
      <w:r w:rsidRPr="000834B8">
        <w:rPr>
          <w:color w:val="FF0000"/>
          <w:sz w:val="22"/>
          <w:szCs w:val="22"/>
        </w:rPr>
        <w:t xml:space="preserve">On page 5: </w:t>
      </w:r>
    </w:p>
    <w:p w14:paraId="04F43EDD" w14:textId="77777777" w:rsidR="00372DC8" w:rsidRPr="000834B8" w:rsidRDefault="00372DC8" w:rsidP="00372DC8">
      <w:pPr>
        <w:rPr>
          <w:i/>
          <w:color w:val="FF0000"/>
          <w:sz w:val="22"/>
          <w:szCs w:val="22"/>
        </w:rPr>
      </w:pPr>
      <w:r w:rsidRPr="000834B8">
        <w:rPr>
          <w:color w:val="FF0000"/>
          <w:sz w:val="22"/>
          <w:szCs w:val="22"/>
        </w:rPr>
        <w:t xml:space="preserve">Added after </w:t>
      </w:r>
      <w:r w:rsidRPr="000834B8">
        <w:rPr>
          <w:i/>
          <w:color w:val="FF0000"/>
          <w:sz w:val="22"/>
          <w:szCs w:val="22"/>
        </w:rPr>
        <w:t xml:space="preserve">[…by a factor </w:t>
      </w:r>
      <w:r w:rsidRPr="000834B8">
        <w:rPr>
          <w:i/>
          <w:color w:val="FF0000"/>
          <w:sz w:val="22"/>
          <w:szCs w:val="22"/>
          <w:lang w:val="el-GR"/>
        </w:rPr>
        <w:t>ξ</w:t>
      </w:r>
      <w:r w:rsidRPr="000834B8">
        <w:rPr>
          <w:i/>
          <w:color w:val="FF0000"/>
          <w:sz w:val="22"/>
          <w:szCs w:val="22"/>
        </w:rPr>
        <w:t>(E) beyond that expected for free electrons and holes (</w:t>
      </w:r>
      <w:r w:rsidRPr="000834B8">
        <w:rPr>
          <w:i/>
          <w:color w:val="FF0000"/>
          <w:sz w:val="22"/>
          <w:szCs w:val="22"/>
          <w:lang w:val="el-GR"/>
        </w:rPr>
        <w:t>α</w:t>
      </w:r>
      <w:r w:rsidRPr="000834B8">
        <w:rPr>
          <w:i/>
          <w:color w:val="FF0000"/>
          <w:sz w:val="22"/>
          <w:szCs w:val="22"/>
          <w:vertAlign w:val="subscript"/>
        </w:rPr>
        <w:t>C</w:t>
      </w:r>
      <w:r w:rsidRPr="000834B8">
        <w:rPr>
          <w:i/>
          <w:color w:val="FF0000"/>
          <w:sz w:val="22"/>
          <w:szCs w:val="22"/>
        </w:rPr>
        <w:t>(E), red dashed line).]</w:t>
      </w:r>
    </w:p>
    <w:p w14:paraId="291C4A5A" w14:textId="77777777" w:rsidR="00372DC8" w:rsidRPr="000834B8" w:rsidRDefault="00372DC8" w:rsidP="00372DC8">
      <w:pPr>
        <w:rPr>
          <w:color w:val="FF0000"/>
          <w:sz w:val="22"/>
          <w:szCs w:val="22"/>
        </w:rPr>
      </w:pPr>
      <w:r w:rsidRPr="000834B8">
        <w:rPr>
          <w:color w:val="FF0000"/>
          <w:sz w:val="22"/>
          <w:szCs w:val="22"/>
          <w:lang w:val="el-GR"/>
        </w:rPr>
        <w:t>ξ</w:t>
      </w:r>
      <w:r w:rsidRPr="000834B8">
        <w:rPr>
          <w:color w:val="FF0000"/>
          <w:sz w:val="22"/>
          <w:szCs w:val="22"/>
        </w:rPr>
        <w:t>(E) is the Coulomb enhancement factor derived from the values of the band gap and binding energy (see Equation 10 in the Supplementary Information) and is therefore not a free (independent) parameter of the model.</w:t>
      </w:r>
    </w:p>
    <w:p w14:paraId="73CD0849" w14:textId="77777777" w:rsidR="00ED0665" w:rsidRPr="000834B8" w:rsidRDefault="00ED0665" w:rsidP="00ED0665">
      <w:pPr>
        <w:rPr>
          <w:rFonts w:eastAsia="Times New Roman"/>
          <w:b/>
          <w:color w:val="000000"/>
          <w:sz w:val="22"/>
          <w:szCs w:val="22"/>
          <w:shd w:val="clear" w:color="auto" w:fill="FFFFFF"/>
        </w:rPr>
      </w:pPr>
    </w:p>
    <w:p w14:paraId="7E54F508" w14:textId="77777777" w:rsidR="00ED0665" w:rsidRPr="000834B8" w:rsidRDefault="00ED0665" w:rsidP="00ED0665">
      <w:pPr>
        <w:rPr>
          <w:rFonts w:eastAsia="Times New Roman"/>
          <w:b/>
          <w:color w:val="000000"/>
          <w:sz w:val="22"/>
          <w:szCs w:val="22"/>
          <w:shd w:val="clear" w:color="auto" w:fill="FFFFFF"/>
        </w:rPr>
      </w:pPr>
      <w:r w:rsidRPr="000834B8">
        <w:rPr>
          <w:rFonts w:eastAsia="Times New Roman"/>
          <w:b/>
          <w:color w:val="000000"/>
          <w:sz w:val="22"/>
          <w:szCs w:val="22"/>
        </w:rPr>
        <w:br/>
      </w:r>
      <w:r w:rsidRPr="000834B8">
        <w:rPr>
          <w:rFonts w:eastAsia="Times New Roman"/>
          <w:b/>
          <w:color w:val="000000"/>
          <w:sz w:val="22"/>
          <w:szCs w:val="22"/>
          <w:shd w:val="clear" w:color="auto" w:fill="FFFFFF"/>
        </w:rPr>
        <w:t>• To what extent the recombination parameter k2 depends on the actual estimate of carrier concentration? Can realistic fluctuations in the carrier concentration improve agreement of extrapolated k2 with experiments?</w:t>
      </w:r>
    </w:p>
    <w:p w14:paraId="3C2ACCE8" w14:textId="77777777" w:rsidR="00ED0665" w:rsidRPr="000834B8" w:rsidRDefault="00ED0665" w:rsidP="00ED0665">
      <w:pPr>
        <w:rPr>
          <w:rFonts w:eastAsia="Times New Roman"/>
          <w:b/>
          <w:color w:val="000000"/>
          <w:sz w:val="22"/>
          <w:szCs w:val="22"/>
          <w:shd w:val="clear" w:color="auto" w:fill="FFFFFF"/>
        </w:rPr>
      </w:pPr>
    </w:p>
    <w:p w14:paraId="1669F00D" w14:textId="77777777" w:rsidR="00ED0665" w:rsidRPr="000834B8" w:rsidRDefault="00ED0665" w:rsidP="00ED0665">
      <w:pPr>
        <w:rPr>
          <w:sz w:val="22"/>
          <w:szCs w:val="22"/>
        </w:rPr>
      </w:pPr>
      <w:r w:rsidRPr="000834B8">
        <w:rPr>
          <w:sz w:val="22"/>
          <w:szCs w:val="22"/>
        </w:rPr>
        <w:t xml:space="preserve">Author reply: </w:t>
      </w:r>
    </w:p>
    <w:p w14:paraId="792AD239" w14:textId="3B645101" w:rsidR="00ED0665" w:rsidRPr="000834B8" w:rsidRDefault="009E65E1" w:rsidP="00ED0665">
      <w:pPr>
        <w:rPr>
          <w:sz w:val="22"/>
          <w:szCs w:val="22"/>
        </w:rPr>
      </w:pPr>
      <w:r w:rsidRPr="000834B8">
        <w:rPr>
          <w:sz w:val="22"/>
          <w:szCs w:val="22"/>
        </w:rPr>
        <w:lastRenderedPageBreak/>
        <w:t>The</w:t>
      </w:r>
      <w:r w:rsidR="00E946DE" w:rsidRPr="000834B8">
        <w:rPr>
          <w:sz w:val="22"/>
          <w:szCs w:val="22"/>
        </w:rPr>
        <w:t xml:space="preserve"> charge-</w:t>
      </w:r>
      <w:r w:rsidRPr="000834B8">
        <w:rPr>
          <w:sz w:val="22"/>
          <w:szCs w:val="22"/>
        </w:rPr>
        <w:t xml:space="preserve">carrier concentration </w:t>
      </w:r>
      <w:r w:rsidR="0057767E" w:rsidRPr="000834B8">
        <w:rPr>
          <w:sz w:val="22"/>
          <w:szCs w:val="22"/>
        </w:rPr>
        <w:t xml:space="preserve">present during the transient spectroscopic measurements </w:t>
      </w:r>
      <w:r w:rsidRPr="000834B8">
        <w:rPr>
          <w:sz w:val="22"/>
          <w:szCs w:val="22"/>
        </w:rPr>
        <w:t>is not estimated</w:t>
      </w:r>
      <w:r w:rsidR="00201691" w:rsidRPr="000834B8">
        <w:rPr>
          <w:sz w:val="22"/>
          <w:szCs w:val="22"/>
        </w:rPr>
        <w:t xml:space="preserve">, </w:t>
      </w:r>
      <w:r w:rsidR="00643A46" w:rsidRPr="000834B8">
        <w:rPr>
          <w:sz w:val="22"/>
          <w:szCs w:val="22"/>
        </w:rPr>
        <w:t xml:space="preserve">but well </w:t>
      </w:r>
      <w:proofErr w:type="spellStart"/>
      <w:r w:rsidR="00643A46" w:rsidRPr="000834B8">
        <w:rPr>
          <w:sz w:val="22"/>
          <w:szCs w:val="22"/>
        </w:rPr>
        <w:t>characterised</w:t>
      </w:r>
      <w:proofErr w:type="spellEnd"/>
      <w:r w:rsidR="00643A46" w:rsidRPr="000834B8">
        <w:rPr>
          <w:sz w:val="22"/>
          <w:szCs w:val="22"/>
        </w:rPr>
        <w:t xml:space="preserve"> from </w:t>
      </w:r>
      <w:r w:rsidR="00201691" w:rsidRPr="000834B8">
        <w:rPr>
          <w:sz w:val="22"/>
          <w:szCs w:val="22"/>
        </w:rPr>
        <w:t xml:space="preserve">measurement of </w:t>
      </w:r>
      <w:r w:rsidR="00DD06DF" w:rsidRPr="000834B8">
        <w:rPr>
          <w:sz w:val="22"/>
          <w:szCs w:val="22"/>
        </w:rPr>
        <w:t xml:space="preserve">the </w:t>
      </w:r>
      <w:r w:rsidR="00201691" w:rsidRPr="000834B8">
        <w:rPr>
          <w:sz w:val="22"/>
          <w:szCs w:val="22"/>
        </w:rPr>
        <w:t xml:space="preserve">excitation </w:t>
      </w:r>
      <w:proofErr w:type="spellStart"/>
      <w:r w:rsidR="00201691" w:rsidRPr="000834B8">
        <w:rPr>
          <w:sz w:val="22"/>
          <w:szCs w:val="22"/>
        </w:rPr>
        <w:t>fluence</w:t>
      </w:r>
      <w:proofErr w:type="spellEnd"/>
      <w:r w:rsidR="00183CD5" w:rsidRPr="000834B8">
        <w:rPr>
          <w:sz w:val="22"/>
          <w:szCs w:val="22"/>
        </w:rPr>
        <w:t xml:space="preserve"> used</w:t>
      </w:r>
      <w:r w:rsidR="00643A46" w:rsidRPr="000834B8">
        <w:rPr>
          <w:sz w:val="22"/>
          <w:szCs w:val="22"/>
        </w:rPr>
        <w:t>,</w:t>
      </w:r>
      <w:r w:rsidR="00896865" w:rsidRPr="000834B8">
        <w:rPr>
          <w:sz w:val="22"/>
          <w:szCs w:val="22"/>
        </w:rPr>
        <w:t xml:space="preserve"> and </w:t>
      </w:r>
      <w:r w:rsidR="00643A46" w:rsidRPr="000834B8">
        <w:rPr>
          <w:sz w:val="22"/>
          <w:szCs w:val="22"/>
        </w:rPr>
        <w:t xml:space="preserve">by </w:t>
      </w:r>
      <w:r w:rsidR="00896865" w:rsidRPr="000834B8">
        <w:rPr>
          <w:sz w:val="22"/>
          <w:szCs w:val="22"/>
        </w:rPr>
        <w:t>taking into account the absorption depth profile</w:t>
      </w:r>
      <w:r w:rsidR="00643A46" w:rsidRPr="000834B8">
        <w:rPr>
          <w:sz w:val="22"/>
          <w:szCs w:val="22"/>
        </w:rPr>
        <w:t xml:space="preserve"> and other parameters as detailed in the Supporting Information of the article describing the measurements</w:t>
      </w:r>
      <w:r w:rsidRPr="000834B8">
        <w:rPr>
          <w:sz w:val="22"/>
          <w:szCs w:val="22"/>
        </w:rPr>
        <w:t>.</w:t>
      </w:r>
      <w:r w:rsidR="004B7FFE" w:rsidRPr="000834B8">
        <w:rPr>
          <w:sz w:val="22"/>
          <w:szCs w:val="22"/>
        </w:rPr>
        <w:t xml:space="preserve">  The fluctuation</w:t>
      </w:r>
      <w:r w:rsidR="00A03605" w:rsidRPr="000834B8">
        <w:rPr>
          <w:sz w:val="22"/>
          <w:szCs w:val="22"/>
        </w:rPr>
        <w:t>s</w:t>
      </w:r>
      <w:r w:rsidR="004B7FFE" w:rsidRPr="000834B8">
        <w:rPr>
          <w:sz w:val="22"/>
          <w:szCs w:val="22"/>
        </w:rPr>
        <w:t xml:space="preserve"> seen</w:t>
      </w:r>
      <w:r w:rsidR="00E946DE" w:rsidRPr="000834B8">
        <w:rPr>
          <w:sz w:val="22"/>
          <w:szCs w:val="22"/>
        </w:rPr>
        <w:t xml:space="preserve"> in the</w:t>
      </w:r>
      <w:r w:rsidR="004B7FFE" w:rsidRPr="000834B8">
        <w:rPr>
          <w:sz w:val="22"/>
          <w:szCs w:val="22"/>
        </w:rPr>
        <w:t xml:space="preserve"> </w:t>
      </w:r>
      <w:r w:rsidR="00643A46" w:rsidRPr="000834B8">
        <w:rPr>
          <w:sz w:val="22"/>
          <w:szCs w:val="22"/>
        </w:rPr>
        <w:t>value of</w:t>
      </w:r>
      <w:r w:rsidR="004B7FFE" w:rsidRPr="000834B8">
        <w:rPr>
          <w:sz w:val="22"/>
          <w:szCs w:val="22"/>
        </w:rPr>
        <w:t xml:space="preserve"> k</w:t>
      </w:r>
      <w:r w:rsidR="004B7FFE" w:rsidRPr="000834B8">
        <w:rPr>
          <w:sz w:val="22"/>
          <w:szCs w:val="22"/>
          <w:vertAlign w:val="subscript"/>
        </w:rPr>
        <w:t>2</w:t>
      </w:r>
      <w:r w:rsidR="004B7FFE" w:rsidRPr="000834B8">
        <w:rPr>
          <w:sz w:val="22"/>
          <w:szCs w:val="22"/>
        </w:rPr>
        <w:t xml:space="preserve"> </w:t>
      </w:r>
      <w:r w:rsidR="00643A46" w:rsidRPr="000834B8">
        <w:rPr>
          <w:sz w:val="22"/>
          <w:szCs w:val="22"/>
        </w:rPr>
        <w:t xml:space="preserve">derived </w:t>
      </w:r>
      <w:r w:rsidR="004B7FFE" w:rsidRPr="000834B8">
        <w:rPr>
          <w:sz w:val="22"/>
          <w:szCs w:val="22"/>
        </w:rPr>
        <w:t xml:space="preserve">from transient measurements are due to low signal to noise </w:t>
      </w:r>
      <w:r w:rsidR="00643A46" w:rsidRPr="000834B8">
        <w:rPr>
          <w:sz w:val="22"/>
          <w:szCs w:val="22"/>
        </w:rPr>
        <w:t xml:space="preserve">that is inherent to measurements, and in particular </w:t>
      </w:r>
      <w:r w:rsidR="00E946DE" w:rsidRPr="000834B8">
        <w:rPr>
          <w:sz w:val="22"/>
          <w:szCs w:val="22"/>
        </w:rPr>
        <w:t>to</w:t>
      </w:r>
      <w:r w:rsidR="004B7FFE" w:rsidRPr="000834B8">
        <w:rPr>
          <w:sz w:val="22"/>
          <w:szCs w:val="22"/>
        </w:rPr>
        <w:t xml:space="preserve"> optical pump</w:t>
      </w:r>
      <w:r w:rsidR="00A03605" w:rsidRPr="000834B8">
        <w:rPr>
          <w:sz w:val="22"/>
          <w:szCs w:val="22"/>
        </w:rPr>
        <w:t xml:space="preserve"> terahertz probe </w:t>
      </w:r>
      <w:r w:rsidR="00C0662A">
        <w:rPr>
          <w:sz w:val="22"/>
          <w:szCs w:val="22"/>
        </w:rPr>
        <w:t>spectroscopy which is a relatively new technique</w:t>
      </w:r>
      <w:r w:rsidR="00A03605" w:rsidRPr="000834B8">
        <w:rPr>
          <w:sz w:val="22"/>
          <w:szCs w:val="22"/>
        </w:rPr>
        <w:t>.</w:t>
      </w:r>
    </w:p>
    <w:p w14:paraId="5CDD9CE5" w14:textId="77777777" w:rsidR="00290274" w:rsidRPr="000834B8" w:rsidRDefault="00290274" w:rsidP="00ED0665">
      <w:pPr>
        <w:rPr>
          <w:rFonts w:eastAsia="Times New Roman"/>
          <w:b/>
          <w:color w:val="000000"/>
          <w:sz w:val="22"/>
          <w:szCs w:val="22"/>
        </w:rPr>
      </w:pPr>
    </w:p>
    <w:p w14:paraId="58D8BFF5" w14:textId="1C491EAE" w:rsidR="00ED0665" w:rsidRPr="000834B8" w:rsidRDefault="00ED0665" w:rsidP="00ED0665">
      <w:pPr>
        <w:rPr>
          <w:rFonts w:eastAsia="Times New Roman"/>
          <w:b/>
          <w:color w:val="000000"/>
          <w:sz w:val="22"/>
          <w:szCs w:val="22"/>
          <w:shd w:val="clear" w:color="auto" w:fill="FFFFFF"/>
        </w:rPr>
      </w:pPr>
      <w:r w:rsidRPr="000834B8">
        <w:rPr>
          <w:rFonts w:eastAsia="Times New Roman"/>
          <w:b/>
          <w:color w:val="000000"/>
          <w:sz w:val="22"/>
          <w:szCs w:val="22"/>
        </w:rPr>
        <w:br/>
      </w:r>
      <w:r w:rsidRPr="000834B8">
        <w:rPr>
          <w:rFonts w:eastAsia="Times New Roman"/>
          <w:b/>
          <w:color w:val="000000"/>
          <w:sz w:val="22"/>
          <w:szCs w:val="22"/>
          <w:shd w:val="clear" w:color="auto" w:fill="FFFFFF"/>
        </w:rPr>
        <w:t>• Is it possible to improve the statistics of transient spectroscopy measurements of figure 3 to better validate the conclusions of the paper and the actual value of the enhancement factor?</w:t>
      </w:r>
    </w:p>
    <w:p w14:paraId="7D629645" w14:textId="77777777" w:rsidR="00ED0665" w:rsidRPr="000834B8" w:rsidRDefault="00ED0665" w:rsidP="00ED0665">
      <w:pPr>
        <w:widowControl w:val="0"/>
        <w:autoSpaceDE w:val="0"/>
        <w:autoSpaceDN w:val="0"/>
        <w:adjustRightInd w:val="0"/>
        <w:rPr>
          <w:b/>
          <w:sz w:val="22"/>
          <w:szCs w:val="22"/>
        </w:rPr>
      </w:pPr>
    </w:p>
    <w:p w14:paraId="4A2BC2B0" w14:textId="77777777" w:rsidR="00ED0665" w:rsidRPr="000834B8" w:rsidRDefault="00ED0665" w:rsidP="00ED0665">
      <w:pPr>
        <w:rPr>
          <w:sz w:val="22"/>
          <w:szCs w:val="22"/>
        </w:rPr>
      </w:pPr>
      <w:r w:rsidRPr="000834B8">
        <w:rPr>
          <w:sz w:val="22"/>
          <w:szCs w:val="22"/>
        </w:rPr>
        <w:t xml:space="preserve">Author reply: </w:t>
      </w:r>
      <w:bookmarkStart w:id="0" w:name="_GoBack"/>
      <w:bookmarkEnd w:id="0"/>
    </w:p>
    <w:p w14:paraId="2A055250" w14:textId="17D14332" w:rsidR="00002221" w:rsidRPr="00ED0665" w:rsidRDefault="00AE3155" w:rsidP="006C4142">
      <w:pPr>
        <w:rPr>
          <w:sz w:val="22"/>
          <w:szCs w:val="22"/>
        </w:rPr>
      </w:pPr>
      <w:r w:rsidRPr="000834B8">
        <w:rPr>
          <w:sz w:val="22"/>
          <w:szCs w:val="22"/>
        </w:rPr>
        <w:t xml:space="preserve">The optical pump terahertz probe measurements (transient measurements) are extremely challenging given that they typically have very low signal to noise ratios and </w:t>
      </w:r>
      <w:r w:rsidR="00643A46" w:rsidRPr="000834B8">
        <w:rPr>
          <w:sz w:val="22"/>
          <w:szCs w:val="22"/>
        </w:rPr>
        <w:t xml:space="preserve">already </w:t>
      </w:r>
      <w:r w:rsidRPr="000834B8">
        <w:rPr>
          <w:sz w:val="22"/>
          <w:szCs w:val="22"/>
        </w:rPr>
        <w:t xml:space="preserve">require a double lock-in setup </w:t>
      </w:r>
      <w:r w:rsidR="007F2267" w:rsidRPr="000834B8">
        <w:rPr>
          <w:sz w:val="22"/>
          <w:szCs w:val="22"/>
        </w:rPr>
        <w:t xml:space="preserve">in order </w:t>
      </w:r>
      <w:r w:rsidR="00643A46" w:rsidRPr="000834B8">
        <w:rPr>
          <w:sz w:val="22"/>
          <w:szCs w:val="22"/>
        </w:rPr>
        <w:t>for any</w:t>
      </w:r>
      <w:r w:rsidRPr="000834B8">
        <w:rPr>
          <w:sz w:val="22"/>
          <w:szCs w:val="22"/>
        </w:rPr>
        <w:t xml:space="preserve"> signal</w:t>
      </w:r>
      <w:r w:rsidR="00643A46" w:rsidRPr="000834B8">
        <w:rPr>
          <w:sz w:val="22"/>
          <w:szCs w:val="22"/>
        </w:rPr>
        <w:t xml:space="preserve"> to be recordable</w:t>
      </w:r>
      <w:r w:rsidRPr="000834B8">
        <w:rPr>
          <w:sz w:val="22"/>
          <w:szCs w:val="22"/>
        </w:rPr>
        <w:t>.</w:t>
      </w:r>
      <w:r w:rsidR="007F2267" w:rsidRPr="000834B8">
        <w:rPr>
          <w:sz w:val="22"/>
          <w:szCs w:val="22"/>
        </w:rPr>
        <w:t xml:space="preserve">  These measurements convey what is currently possible with state of the art technology</w:t>
      </w:r>
      <w:r w:rsidR="00E946DE" w:rsidRPr="000834B8">
        <w:rPr>
          <w:sz w:val="22"/>
          <w:szCs w:val="22"/>
        </w:rPr>
        <w:t>;</w:t>
      </w:r>
      <w:r w:rsidR="007F2267" w:rsidRPr="000834B8">
        <w:rPr>
          <w:sz w:val="22"/>
          <w:szCs w:val="22"/>
        </w:rPr>
        <w:t xml:space="preserve"> </w:t>
      </w:r>
      <w:r w:rsidR="00643A46" w:rsidRPr="000834B8">
        <w:rPr>
          <w:sz w:val="22"/>
          <w:szCs w:val="22"/>
        </w:rPr>
        <w:t xml:space="preserve">no other groups are able to obtain </w:t>
      </w:r>
      <w:r w:rsidR="007F2267" w:rsidRPr="000834B8">
        <w:rPr>
          <w:sz w:val="22"/>
          <w:szCs w:val="22"/>
        </w:rPr>
        <w:t>any better data</w:t>
      </w:r>
      <w:r w:rsidR="00643A46" w:rsidRPr="000834B8">
        <w:rPr>
          <w:sz w:val="22"/>
          <w:szCs w:val="22"/>
        </w:rPr>
        <w:t>.</w:t>
      </w:r>
      <w:r w:rsidR="007F2267" w:rsidRPr="000834B8">
        <w:rPr>
          <w:sz w:val="22"/>
          <w:szCs w:val="22"/>
        </w:rPr>
        <w:t xml:space="preserve"> </w:t>
      </w:r>
      <w:r w:rsidR="00643A46" w:rsidRPr="000834B8">
        <w:rPr>
          <w:sz w:val="22"/>
          <w:szCs w:val="22"/>
        </w:rPr>
        <w:t>W</w:t>
      </w:r>
      <w:r w:rsidR="007F2267" w:rsidRPr="000834B8">
        <w:rPr>
          <w:sz w:val="22"/>
          <w:szCs w:val="22"/>
        </w:rPr>
        <w:t xml:space="preserve">e are </w:t>
      </w:r>
      <w:r w:rsidR="00643A46" w:rsidRPr="000834B8">
        <w:rPr>
          <w:sz w:val="22"/>
          <w:szCs w:val="22"/>
        </w:rPr>
        <w:t xml:space="preserve">of course always </w:t>
      </w:r>
      <w:r w:rsidR="007F2267" w:rsidRPr="000834B8">
        <w:rPr>
          <w:sz w:val="22"/>
          <w:szCs w:val="22"/>
        </w:rPr>
        <w:t>working on ways to further improve this measurement technique</w:t>
      </w:r>
      <w:r w:rsidR="00643A46" w:rsidRPr="000834B8">
        <w:rPr>
          <w:sz w:val="22"/>
          <w:szCs w:val="22"/>
        </w:rPr>
        <w:t>, bu</w:t>
      </w:r>
      <w:r w:rsidR="00643A46">
        <w:rPr>
          <w:sz w:val="22"/>
          <w:szCs w:val="22"/>
        </w:rPr>
        <w:t>t at present, this presents the state of the art</w:t>
      </w:r>
      <w:r w:rsidR="007F2267">
        <w:rPr>
          <w:sz w:val="22"/>
          <w:szCs w:val="22"/>
        </w:rPr>
        <w:t>.</w:t>
      </w:r>
    </w:p>
    <w:sectPr w:rsidR="00002221" w:rsidRPr="00ED0665" w:rsidSect="001B4DA7">
      <w:footerReference w:type="even" r:id="rId10"/>
      <w:footerReference w:type="default" r:id="rId11"/>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9F3BC" w14:textId="77777777" w:rsidR="0073369A" w:rsidRDefault="0073369A" w:rsidP="003262F3">
      <w:r>
        <w:separator/>
      </w:r>
    </w:p>
  </w:endnote>
  <w:endnote w:type="continuationSeparator" w:id="0">
    <w:p w14:paraId="7CC6B97E" w14:textId="77777777" w:rsidR="0073369A" w:rsidRDefault="0073369A" w:rsidP="0032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1F99" w14:textId="77777777" w:rsidR="009915F1" w:rsidRDefault="009915F1" w:rsidP="00B246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2C95A1" w14:textId="77777777" w:rsidR="009915F1" w:rsidRDefault="009915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A3FCC" w14:textId="77777777" w:rsidR="009915F1" w:rsidRDefault="009915F1" w:rsidP="00B246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662A">
      <w:rPr>
        <w:rStyle w:val="PageNumber"/>
        <w:noProof/>
      </w:rPr>
      <w:t>12</w:t>
    </w:r>
    <w:r>
      <w:rPr>
        <w:rStyle w:val="PageNumber"/>
      </w:rPr>
      <w:fldChar w:fldCharType="end"/>
    </w:r>
  </w:p>
  <w:p w14:paraId="7C4D9997" w14:textId="77777777" w:rsidR="009915F1" w:rsidRDefault="009915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8B991" w14:textId="77777777" w:rsidR="0073369A" w:rsidRDefault="0073369A" w:rsidP="003262F3">
      <w:r>
        <w:separator/>
      </w:r>
    </w:p>
  </w:footnote>
  <w:footnote w:type="continuationSeparator" w:id="0">
    <w:p w14:paraId="55E584C2" w14:textId="77777777" w:rsidR="0073369A" w:rsidRDefault="0073369A" w:rsidP="003262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06C8"/>
    <w:multiLevelType w:val="multilevel"/>
    <w:tmpl w:val="98E640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3172A2A"/>
    <w:multiLevelType w:val="hybridMultilevel"/>
    <w:tmpl w:val="98E64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33"/>
    <w:rsid w:val="00002221"/>
    <w:rsid w:val="00012C36"/>
    <w:rsid w:val="00017503"/>
    <w:rsid w:val="00017934"/>
    <w:rsid w:val="00021A35"/>
    <w:rsid w:val="00023100"/>
    <w:rsid w:val="00033C9F"/>
    <w:rsid w:val="00037013"/>
    <w:rsid w:val="000472D6"/>
    <w:rsid w:val="0006166F"/>
    <w:rsid w:val="00064A3E"/>
    <w:rsid w:val="000650E2"/>
    <w:rsid w:val="00065E2F"/>
    <w:rsid w:val="0006720A"/>
    <w:rsid w:val="00067B07"/>
    <w:rsid w:val="0007042F"/>
    <w:rsid w:val="00070B81"/>
    <w:rsid w:val="00073A17"/>
    <w:rsid w:val="000771AB"/>
    <w:rsid w:val="000829C5"/>
    <w:rsid w:val="000834B8"/>
    <w:rsid w:val="00083E9F"/>
    <w:rsid w:val="0008727D"/>
    <w:rsid w:val="000968D1"/>
    <w:rsid w:val="0009740F"/>
    <w:rsid w:val="000A04AC"/>
    <w:rsid w:val="000A2129"/>
    <w:rsid w:val="000A4F14"/>
    <w:rsid w:val="000A71BC"/>
    <w:rsid w:val="000B6616"/>
    <w:rsid w:val="000C31E7"/>
    <w:rsid w:val="000C3B04"/>
    <w:rsid w:val="000C4ECF"/>
    <w:rsid w:val="000D08A9"/>
    <w:rsid w:val="000D2CBE"/>
    <w:rsid w:val="000D5911"/>
    <w:rsid w:val="00114632"/>
    <w:rsid w:val="00117448"/>
    <w:rsid w:val="00121090"/>
    <w:rsid w:val="00124846"/>
    <w:rsid w:val="00126917"/>
    <w:rsid w:val="001277FF"/>
    <w:rsid w:val="001309EE"/>
    <w:rsid w:val="001318C5"/>
    <w:rsid w:val="00142CB8"/>
    <w:rsid w:val="001436E5"/>
    <w:rsid w:val="001450C8"/>
    <w:rsid w:val="001465DE"/>
    <w:rsid w:val="0015152D"/>
    <w:rsid w:val="001525FB"/>
    <w:rsid w:val="00171A59"/>
    <w:rsid w:val="00180AB8"/>
    <w:rsid w:val="00182473"/>
    <w:rsid w:val="00183BBB"/>
    <w:rsid w:val="00183CD5"/>
    <w:rsid w:val="001843DB"/>
    <w:rsid w:val="00184669"/>
    <w:rsid w:val="00197E50"/>
    <w:rsid w:val="001A067C"/>
    <w:rsid w:val="001A0CC2"/>
    <w:rsid w:val="001A306E"/>
    <w:rsid w:val="001A4AF5"/>
    <w:rsid w:val="001A4B39"/>
    <w:rsid w:val="001A560C"/>
    <w:rsid w:val="001B3D1D"/>
    <w:rsid w:val="001B4DA7"/>
    <w:rsid w:val="001C1837"/>
    <w:rsid w:val="001C23D6"/>
    <w:rsid w:val="001D142C"/>
    <w:rsid w:val="001F3E45"/>
    <w:rsid w:val="001F6D91"/>
    <w:rsid w:val="00201691"/>
    <w:rsid w:val="00202E58"/>
    <w:rsid w:val="00204CF7"/>
    <w:rsid w:val="0020565E"/>
    <w:rsid w:val="002063E4"/>
    <w:rsid w:val="00207033"/>
    <w:rsid w:val="00220BF2"/>
    <w:rsid w:val="00221809"/>
    <w:rsid w:val="00223711"/>
    <w:rsid w:val="00231027"/>
    <w:rsid w:val="00231137"/>
    <w:rsid w:val="00244906"/>
    <w:rsid w:val="0025338F"/>
    <w:rsid w:val="00256686"/>
    <w:rsid w:val="002568AE"/>
    <w:rsid w:val="00260DDC"/>
    <w:rsid w:val="00261943"/>
    <w:rsid w:val="00266EA8"/>
    <w:rsid w:val="00267351"/>
    <w:rsid w:val="00267407"/>
    <w:rsid w:val="0027012E"/>
    <w:rsid w:val="0027415B"/>
    <w:rsid w:val="002810CD"/>
    <w:rsid w:val="00281519"/>
    <w:rsid w:val="00287A5C"/>
    <w:rsid w:val="00290274"/>
    <w:rsid w:val="0029286C"/>
    <w:rsid w:val="0029381E"/>
    <w:rsid w:val="002977FE"/>
    <w:rsid w:val="002A06EE"/>
    <w:rsid w:val="002A62DB"/>
    <w:rsid w:val="002B0BC5"/>
    <w:rsid w:val="002C6ED3"/>
    <w:rsid w:val="002D1571"/>
    <w:rsid w:val="002D4115"/>
    <w:rsid w:val="002F0B21"/>
    <w:rsid w:val="002F11C8"/>
    <w:rsid w:val="002F5E20"/>
    <w:rsid w:val="002F7731"/>
    <w:rsid w:val="003206A0"/>
    <w:rsid w:val="00321A9B"/>
    <w:rsid w:val="00322B2C"/>
    <w:rsid w:val="00325F06"/>
    <w:rsid w:val="003262F3"/>
    <w:rsid w:val="0033172F"/>
    <w:rsid w:val="00332000"/>
    <w:rsid w:val="003338D7"/>
    <w:rsid w:val="00337259"/>
    <w:rsid w:val="00337CFC"/>
    <w:rsid w:val="00337F2F"/>
    <w:rsid w:val="00343699"/>
    <w:rsid w:val="00344EF5"/>
    <w:rsid w:val="00346083"/>
    <w:rsid w:val="00347415"/>
    <w:rsid w:val="00354808"/>
    <w:rsid w:val="00357D9E"/>
    <w:rsid w:val="00361F77"/>
    <w:rsid w:val="00362B2E"/>
    <w:rsid w:val="0036677F"/>
    <w:rsid w:val="0037230E"/>
    <w:rsid w:val="00372C08"/>
    <w:rsid w:val="00372DC8"/>
    <w:rsid w:val="00375C7B"/>
    <w:rsid w:val="003773D7"/>
    <w:rsid w:val="0038684F"/>
    <w:rsid w:val="0039195F"/>
    <w:rsid w:val="0039336E"/>
    <w:rsid w:val="003A40C6"/>
    <w:rsid w:val="003B4688"/>
    <w:rsid w:val="003B6D2E"/>
    <w:rsid w:val="003C5178"/>
    <w:rsid w:val="003C6643"/>
    <w:rsid w:val="003C7383"/>
    <w:rsid w:val="003D1EF8"/>
    <w:rsid w:val="003F417F"/>
    <w:rsid w:val="004018C3"/>
    <w:rsid w:val="0040491A"/>
    <w:rsid w:val="00407035"/>
    <w:rsid w:val="00415CEE"/>
    <w:rsid w:val="00442CFA"/>
    <w:rsid w:val="00456A5C"/>
    <w:rsid w:val="00461ED9"/>
    <w:rsid w:val="00465446"/>
    <w:rsid w:val="00465D80"/>
    <w:rsid w:val="00481DAB"/>
    <w:rsid w:val="00485197"/>
    <w:rsid w:val="00486584"/>
    <w:rsid w:val="0049368F"/>
    <w:rsid w:val="00496933"/>
    <w:rsid w:val="00497FC2"/>
    <w:rsid w:val="004A1100"/>
    <w:rsid w:val="004A718E"/>
    <w:rsid w:val="004B0A5E"/>
    <w:rsid w:val="004B3906"/>
    <w:rsid w:val="004B7ABA"/>
    <w:rsid w:val="004B7FFE"/>
    <w:rsid w:val="004C47BA"/>
    <w:rsid w:val="004D1902"/>
    <w:rsid w:val="004D450E"/>
    <w:rsid w:val="004D6156"/>
    <w:rsid w:val="004E159B"/>
    <w:rsid w:val="004E43AA"/>
    <w:rsid w:val="004E4748"/>
    <w:rsid w:val="004E4A20"/>
    <w:rsid w:val="004E6E7C"/>
    <w:rsid w:val="004E7FB1"/>
    <w:rsid w:val="004F1604"/>
    <w:rsid w:val="004F715E"/>
    <w:rsid w:val="0050470B"/>
    <w:rsid w:val="00504BB4"/>
    <w:rsid w:val="00517AF4"/>
    <w:rsid w:val="00517FB5"/>
    <w:rsid w:val="0052777F"/>
    <w:rsid w:val="00530649"/>
    <w:rsid w:val="00532191"/>
    <w:rsid w:val="005346B6"/>
    <w:rsid w:val="005350B6"/>
    <w:rsid w:val="00540D98"/>
    <w:rsid w:val="005430B8"/>
    <w:rsid w:val="0055274C"/>
    <w:rsid w:val="00556EA7"/>
    <w:rsid w:val="0056220F"/>
    <w:rsid w:val="00570793"/>
    <w:rsid w:val="005749CA"/>
    <w:rsid w:val="00575919"/>
    <w:rsid w:val="00575CB6"/>
    <w:rsid w:val="0057767E"/>
    <w:rsid w:val="00581177"/>
    <w:rsid w:val="0058358C"/>
    <w:rsid w:val="00586293"/>
    <w:rsid w:val="00590DA4"/>
    <w:rsid w:val="00590EEB"/>
    <w:rsid w:val="00591356"/>
    <w:rsid w:val="00591E51"/>
    <w:rsid w:val="00595E13"/>
    <w:rsid w:val="005A2278"/>
    <w:rsid w:val="005A31B3"/>
    <w:rsid w:val="005A45A6"/>
    <w:rsid w:val="005B1383"/>
    <w:rsid w:val="005B1A1C"/>
    <w:rsid w:val="005B21D4"/>
    <w:rsid w:val="005B4F26"/>
    <w:rsid w:val="005B5D81"/>
    <w:rsid w:val="005B63F4"/>
    <w:rsid w:val="005C4B79"/>
    <w:rsid w:val="005C5E04"/>
    <w:rsid w:val="005D086A"/>
    <w:rsid w:val="005D1415"/>
    <w:rsid w:val="005D273B"/>
    <w:rsid w:val="005D29CC"/>
    <w:rsid w:val="005D3971"/>
    <w:rsid w:val="005D6886"/>
    <w:rsid w:val="005D6FED"/>
    <w:rsid w:val="005E3737"/>
    <w:rsid w:val="005F03BC"/>
    <w:rsid w:val="006020BB"/>
    <w:rsid w:val="00603C7F"/>
    <w:rsid w:val="006112FE"/>
    <w:rsid w:val="00623A28"/>
    <w:rsid w:val="00625811"/>
    <w:rsid w:val="00630E62"/>
    <w:rsid w:val="00633908"/>
    <w:rsid w:val="006351B5"/>
    <w:rsid w:val="00635209"/>
    <w:rsid w:val="006371A2"/>
    <w:rsid w:val="00641685"/>
    <w:rsid w:val="00643A46"/>
    <w:rsid w:val="00643B6B"/>
    <w:rsid w:val="00644D74"/>
    <w:rsid w:val="00647047"/>
    <w:rsid w:val="006644F3"/>
    <w:rsid w:val="0067569E"/>
    <w:rsid w:val="00675ABB"/>
    <w:rsid w:val="00676E71"/>
    <w:rsid w:val="00677252"/>
    <w:rsid w:val="00680632"/>
    <w:rsid w:val="0068144C"/>
    <w:rsid w:val="00684CB1"/>
    <w:rsid w:val="00687278"/>
    <w:rsid w:val="00690AA0"/>
    <w:rsid w:val="006A25ED"/>
    <w:rsid w:val="006A2D70"/>
    <w:rsid w:val="006A3336"/>
    <w:rsid w:val="006B1B16"/>
    <w:rsid w:val="006B4E85"/>
    <w:rsid w:val="006B4FB1"/>
    <w:rsid w:val="006C3199"/>
    <w:rsid w:val="006C3E7A"/>
    <w:rsid w:val="006C4142"/>
    <w:rsid w:val="006C587D"/>
    <w:rsid w:val="006C667F"/>
    <w:rsid w:val="006D386B"/>
    <w:rsid w:val="006D3CF4"/>
    <w:rsid w:val="006E1E64"/>
    <w:rsid w:val="006E6CE7"/>
    <w:rsid w:val="006F01E9"/>
    <w:rsid w:val="006F026E"/>
    <w:rsid w:val="006F5F11"/>
    <w:rsid w:val="007012BF"/>
    <w:rsid w:val="00703857"/>
    <w:rsid w:val="0071052B"/>
    <w:rsid w:val="007107F7"/>
    <w:rsid w:val="00710AFF"/>
    <w:rsid w:val="0072518B"/>
    <w:rsid w:val="00727498"/>
    <w:rsid w:val="00727841"/>
    <w:rsid w:val="007278C2"/>
    <w:rsid w:val="007301F9"/>
    <w:rsid w:val="00730203"/>
    <w:rsid w:val="00730B30"/>
    <w:rsid w:val="0073369A"/>
    <w:rsid w:val="00736E75"/>
    <w:rsid w:val="00751503"/>
    <w:rsid w:val="00755EA2"/>
    <w:rsid w:val="0075697F"/>
    <w:rsid w:val="00760B13"/>
    <w:rsid w:val="00762871"/>
    <w:rsid w:val="00763541"/>
    <w:rsid w:val="00763B73"/>
    <w:rsid w:val="007656A6"/>
    <w:rsid w:val="0076729A"/>
    <w:rsid w:val="00776BE2"/>
    <w:rsid w:val="00780A64"/>
    <w:rsid w:val="007909DD"/>
    <w:rsid w:val="00791178"/>
    <w:rsid w:val="0079631C"/>
    <w:rsid w:val="007A2727"/>
    <w:rsid w:val="007B34C4"/>
    <w:rsid w:val="007B3983"/>
    <w:rsid w:val="007B4BC6"/>
    <w:rsid w:val="007B51AA"/>
    <w:rsid w:val="007B568D"/>
    <w:rsid w:val="007C54DD"/>
    <w:rsid w:val="007D3986"/>
    <w:rsid w:val="007D473C"/>
    <w:rsid w:val="007E055B"/>
    <w:rsid w:val="007F2267"/>
    <w:rsid w:val="00803B9A"/>
    <w:rsid w:val="008054BF"/>
    <w:rsid w:val="0081040B"/>
    <w:rsid w:val="00814800"/>
    <w:rsid w:val="00821176"/>
    <w:rsid w:val="0082156C"/>
    <w:rsid w:val="00824782"/>
    <w:rsid w:val="00847F00"/>
    <w:rsid w:val="00847F7F"/>
    <w:rsid w:val="00850A7A"/>
    <w:rsid w:val="0085139B"/>
    <w:rsid w:val="008529CA"/>
    <w:rsid w:val="00855302"/>
    <w:rsid w:val="00862FAD"/>
    <w:rsid w:val="00863434"/>
    <w:rsid w:val="00867133"/>
    <w:rsid w:val="00873D38"/>
    <w:rsid w:val="0087448A"/>
    <w:rsid w:val="00877569"/>
    <w:rsid w:val="00880B32"/>
    <w:rsid w:val="008838DF"/>
    <w:rsid w:val="00891E9E"/>
    <w:rsid w:val="00896865"/>
    <w:rsid w:val="008A0330"/>
    <w:rsid w:val="008A0995"/>
    <w:rsid w:val="008B268C"/>
    <w:rsid w:val="008C106C"/>
    <w:rsid w:val="008C1F1A"/>
    <w:rsid w:val="008C6F4C"/>
    <w:rsid w:val="008D0126"/>
    <w:rsid w:val="008D4400"/>
    <w:rsid w:val="008F288F"/>
    <w:rsid w:val="00901CC0"/>
    <w:rsid w:val="009031C1"/>
    <w:rsid w:val="00903DF2"/>
    <w:rsid w:val="00906136"/>
    <w:rsid w:val="009073A5"/>
    <w:rsid w:val="00912723"/>
    <w:rsid w:val="009224AD"/>
    <w:rsid w:val="0092305E"/>
    <w:rsid w:val="00923175"/>
    <w:rsid w:val="009241E8"/>
    <w:rsid w:val="009306C7"/>
    <w:rsid w:val="009367EA"/>
    <w:rsid w:val="00940D10"/>
    <w:rsid w:val="009701AF"/>
    <w:rsid w:val="009827F7"/>
    <w:rsid w:val="00985631"/>
    <w:rsid w:val="00987D88"/>
    <w:rsid w:val="00990513"/>
    <w:rsid w:val="009915F1"/>
    <w:rsid w:val="00993DA2"/>
    <w:rsid w:val="009A1CE7"/>
    <w:rsid w:val="009A3878"/>
    <w:rsid w:val="009A4C69"/>
    <w:rsid w:val="009A5868"/>
    <w:rsid w:val="009A7E21"/>
    <w:rsid w:val="009B0B64"/>
    <w:rsid w:val="009B424B"/>
    <w:rsid w:val="009B48C6"/>
    <w:rsid w:val="009B5F8C"/>
    <w:rsid w:val="009C14B1"/>
    <w:rsid w:val="009C1AEF"/>
    <w:rsid w:val="009C730B"/>
    <w:rsid w:val="009D5E4D"/>
    <w:rsid w:val="009E65E1"/>
    <w:rsid w:val="00A01479"/>
    <w:rsid w:val="00A03605"/>
    <w:rsid w:val="00A038F2"/>
    <w:rsid w:val="00A04FF5"/>
    <w:rsid w:val="00A12E04"/>
    <w:rsid w:val="00A1432D"/>
    <w:rsid w:val="00A24903"/>
    <w:rsid w:val="00A405AC"/>
    <w:rsid w:val="00A4065D"/>
    <w:rsid w:val="00A41185"/>
    <w:rsid w:val="00A41636"/>
    <w:rsid w:val="00A43BE8"/>
    <w:rsid w:val="00A43C4C"/>
    <w:rsid w:val="00A45607"/>
    <w:rsid w:val="00A50216"/>
    <w:rsid w:val="00A520D4"/>
    <w:rsid w:val="00A525F6"/>
    <w:rsid w:val="00A53871"/>
    <w:rsid w:val="00A64D0D"/>
    <w:rsid w:val="00A64D2A"/>
    <w:rsid w:val="00A66721"/>
    <w:rsid w:val="00A75E53"/>
    <w:rsid w:val="00A84247"/>
    <w:rsid w:val="00A8606D"/>
    <w:rsid w:val="00A8616B"/>
    <w:rsid w:val="00A91A8A"/>
    <w:rsid w:val="00A923AB"/>
    <w:rsid w:val="00A94EE3"/>
    <w:rsid w:val="00AA0ADA"/>
    <w:rsid w:val="00AA24E2"/>
    <w:rsid w:val="00AA2778"/>
    <w:rsid w:val="00AA5D2D"/>
    <w:rsid w:val="00AB02EE"/>
    <w:rsid w:val="00AC1318"/>
    <w:rsid w:val="00AC3B89"/>
    <w:rsid w:val="00AC3DBD"/>
    <w:rsid w:val="00AC496A"/>
    <w:rsid w:val="00AC6816"/>
    <w:rsid w:val="00AD2AA1"/>
    <w:rsid w:val="00AD64C9"/>
    <w:rsid w:val="00AD6D0C"/>
    <w:rsid w:val="00AD7251"/>
    <w:rsid w:val="00AE3155"/>
    <w:rsid w:val="00AE41E0"/>
    <w:rsid w:val="00AF163B"/>
    <w:rsid w:val="00AF2A94"/>
    <w:rsid w:val="00AF7FE6"/>
    <w:rsid w:val="00B14106"/>
    <w:rsid w:val="00B210AD"/>
    <w:rsid w:val="00B2395D"/>
    <w:rsid w:val="00B24699"/>
    <w:rsid w:val="00B35031"/>
    <w:rsid w:val="00B45D94"/>
    <w:rsid w:val="00B50F31"/>
    <w:rsid w:val="00B527A9"/>
    <w:rsid w:val="00B54E33"/>
    <w:rsid w:val="00B568D7"/>
    <w:rsid w:val="00B568FC"/>
    <w:rsid w:val="00B56A90"/>
    <w:rsid w:val="00B573E6"/>
    <w:rsid w:val="00B7116B"/>
    <w:rsid w:val="00B7313C"/>
    <w:rsid w:val="00B76D14"/>
    <w:rsid w:val="00B83805"/>
    <w:rsid w:val="00B844C0"/>
    <w:rsid w:val="00B8642B"/>
    <w:rsid w:val="00B92951"/>
    <w:rsid w:val="00B96344"/>
    <w:rsid w:val="00BA2519"/>
    <w:rsid w:val="00BB6FAF"/>
    <w:rsid w:val="00BB7012"/>
    <w:rsid w:val="00BB7BA0"/>
    <w:rsid w:val="00BC0866"/>
    <w:rsid w:val="00BC5DF0"/>
    <w:rsid w:val="00BC5FE8"/>
    <w:rsid w:val="00BC763A"/>
    <w:rsid w:val="00BD0111"/>
    <w:rsid w:val="00BE4082"/>
    <w:rsid w:val="00BF7991"/>
    <w:rsid w:val="00C0233A"/>
    <w:rsid w:val="00C04C89"/>
    <w:rsid w:val="00C0662A"/>
    <w:rsid w:val="00C16111"/>
    <w:rsid w:val="00C222D8"/>
    <w:rsid w:val="00C2626B"/>
    <w:rsid w:val="00C2676A"/>
    <w:rsid w:val="00C317CA"/>
    <w:rsid w:val="00C56E6A"/>
    <w:rsid w:val="00C70821"/>
    <w:rsid w:val="00C7617C"/>
    <w:rsid w:val="00C76D8D"/>
    <w:rsid w:val="00C77634"/>
    <w:rsid w:val="00C8001E"/>
    <w:rsid w:val="00C815F4"/>
    <w:rsid w:val="00C865A4"/>
    <w:rsid w:val="00C926B1"/>
    <w:rsid w:val="00CA0300"/>
    <w:rsid w:val="00CA1F2A"/>
    <w:rsid w:val="00CA3608"/>
    <w:rsid w:val="00CB4000"/>
    <w:rsid w:val="00CC028A"/>
    <w:rsid w:val="00CC1893"/>
    <w:rsid w:val="00CC1FDE"/>
    <w:rsid w:val="00CC2E29"/>
    <w:rsid w:val="00CC6D72"/>
    <w:rsid w:val="00CD44B8"/>
    <w:rsid w:val="00CE1ABA"/>
    <w:rsid w:val="00CE3BBD"/>
    <w:rsid w:val="00CF6A23"/>
    <w:rsid w:val="00CF7377"/>
    <w:rsid w:val="00D01228"/>
    <w:rsid w:val="00D0550D"/>
    <w:rsid w:val="00D06F48"/>
    <w:rsid w:val="00D11DA3"/>
    <w:rsid w:val="00D13A2E"/>
    <w:rsid w:val="00D17658"/>
    <w:rsid w:val="00D1775B"/>
    <w:rsid w:val="00D2072E"/>
    <w:rsid w:val="00D30011"/>
    <w:rsid w:val="00D31EDF"/>
    <w:rsid w:val="00D33BAF"/>
    <w:rsid w:val="00D4455C"/>
    <w:rsid w:val="00D529F9"/>
    <w:rsid w:val="00D706C9"/>
    <w:rsid w:val="00D70FD5"/>
    <w:rsid w:val="00D7369C"/>
    <w:rsid w:val="00D7610F"/>
    <w:rsid w:val="00D8089A"/>
    <w:rsid w:val="00D82C75"/>
    <w:rsid w:val="00D8438F"/>
    <w:rsid w:val="00D87F28"/>
    <w:rsid w:val="00D92F00"/>
    <w:rsid w:val="00D97F1F"/>
    <w:rsid w:val="00DA381B"/>
    <w:rsid w:val="00DA5643"/>
    <w:rsid w:val="00DB4281"/>
    <w:rsid w:val="00DB45A4"/>
    <w:rsid w:val="00DB7834"/>
    <w:rsid w:val="00DC67A9"/>
    <w:rsid w:val="00DD06DF"/>
    <w:rsid w:val="00DF0B45"/>
    <w:rsid w:val="00DF16D7"/>
    <w:rsid w:val="00DF64ED"/>
    <w:rsid w:val="00DF7617"/>
    <w:rsid w:val="00E035A0"/>
    <w:rsid w:val="00E03EB3"/>
    <w:rsid w:val="00E10E78"/>
    <w:rsid w:val="00E112E3"/>
    <w:rsid w:val="00E1163F"/>
    <w:rsid w:val="00E160F0"/>
    <w:rsid w:val="00E16626"/>
    <w:rsid w:val="00E16E61"/>
    <w:rsid w:val="00E233CF"/>
    <w:rsid w:val="00E24829"/>
    <w:rsid w:val="00E403CD"/>
    <w:rsid w:val="00E4316B"/>
    <w:rsid w:val="00E44974"/>
    <w:rsid w:val="00E45200"/>
    <w:rsid w:val="00E4750D"/>
    <w:rsid w:val="00E5228D"/>
    <w:rsid w:val="00E52292"/>
    <w:rsid w:val="00E5386B"/>
    <w:rsid w:val="00E53FDB"/>
    <w:rsid w:val="00E63A18"/>
    <w:rsid w:val="00E63EB7"/>
    <w:rsid w:val="00E7140B"/>
    <w:rsid w:val="00E776BF"/>
    <w:rsid w:val="00E82EBC"/>
    <w:rsid w:val="00E87625"/>
    <w:rsid w:val="00E946DE"/>
    <w:rsid w:val="00EA11A9"/>
    <w:rsid w:val="00EA15FB"/>
    <w:rsid w:val="00EB346F"/>
    <w:rsid w:val="00EB45C6"/>
    <w:rsid w:val="00EC13AC"/>
    <w:rsid w:val="00ED0665"/>
    <w:rsid w:val="00ED16E9"/>
    <w:rsid w:val="00EE1212"/>
    <w:rsid w:val="00EF35ED"/>
    <w:rsid w:val="00EF46AE"/>
    <w:rsid w:val="00F048C2"/>
    <w:rsid w:val="00F05820"/>
    <w:rsid w:val="00F075F7"/>
    <w:rsid w:val="00F10985"/>
    <w:rsid w:val="00F124B3"/>
    <w:rsid w:val="00F12A0E"/>
    <w:rsid w:val="00F16784"/>
    <w:rsid w:val="00F1759B"/>
    <w:rsid w:val="00F21BA6"/>
    <w:rsid w:val="00F26E6F"/>
    <w:rsid w:val="00F32EA7"/>
    <w:rsid w:val="00F36912"/>
    <w:rsid w:val="00F4224C"/>
    <w:rsid w:val="00F45F71"/>
    <w:rsid w:val="00F51670"/>
    <w:rsid w:val="00F54103"/>
    <w:rsid w:val="00F61F5A"/>
    <w:rsid w:val="00F637E7"/>
    <w:rsid w:val="00F63885"/>
    <w:rsid w:val="00F66AB8"/>
    <w:rsid w:val="00F82696"/>
    <w:rsid w:val="00F93F2F"/>
    <w:rsid w:val="00F970FF"/>
    <w:rsid w:val="00FA0E87"/>
    <w:rsid w:val="00FB06C9"/>
    <w:rsid w:val="00FB4228"/>
    <w:rsid w:val="00FC17BF"/>
    <w:rsid w:val="00FC4335"/>
    <w:rsid w:val="00FD3B16"/>
    <w:rsid w:val="00FD7A9F"/>
    <w:rsid w:val="00FE1AFA"/>
    <w:rsid w:val="00FE38E2"/>
    <w:rsid w:val="00FE72A8"/>
    <w:rsid w:val="00FF53FE"/>
    <w:rsid w:val="00FF6DE0"/>
    <w:rsid w:val="00FF7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F6E9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ECF"/>
    <w:rPr>
      <w:rFonts w:ascii="Times New Roman" w:hAnsi="Times New Roman" w:cs="Times New Roman"/>
      <w:lang w:val="en-GB" w:eastAsia="en-GB"/>
    </w:rPr>
  </w:style>
  <w:style w:type="paragraph" w:styleId="Heading1">
    <w:name w:val="heading 1"/>
    <w:basedOn w:val="Normal"/>
    <w:next w:val="Normal"/>
    <w:link w:val="Heading1Char"/>
    <w:uiPriority w:val="9"/>
    <w:qFormat/>
    <w:rsid w:val="00F4224C"/>
    <w:pPr>
      <w:keepNext/>
      <w:spacing w:before="240" w:after="60"/>
      <w:outlineLvl w:val="0"/>
    </w:pPr>
    <w:rPr>
      <w:rFonts w:asciiTheme="majorHAnsi" w:eastAsiaTheme="majorEastAsia" w:hAnsiTheme="majorHAnsi" w:cstheme="majorBidi"/>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15B"/>
    <w:rPr>
      <w:color w:val="0000FF" w:themeColor="hyperlink"/>
      <w:u w:val="single"/>
    </w:rPr>
  </w:style>
  <w:style w:type="paragraph" w:styleId="NormalWeb">
    <w:name w:val="Normal (Web)"/>
    <w:basedOn w:val="Normal"/>
    <w:uiPriority w:val="99"/>
    <w:unhideWhenUsed/>
    <w:rsid w:val="00BE4082"/>
    <w:pPr>
      <w:spacing w:before="100" w:beforeAutospacing="1" w:after="100" w:afterAutospacing="1"/>
    </w:pPr>
    <w:rPr>
      <w:rFonts w:ascii="Times" w:hAnsi="Times"/>
      <w:sz w:val="20"/>
      <w:szCs w:val="20"/>
      <w:lang w:eastAsia="en-US"/>
    </w:rPr>
  </w:style>
  <w:style w:type="paragraph" w:styleId="Footer">
    <w:name w:val="footer"/>
    <w:basedOn w:val="Normal"/>
    <w:link w:val="FooterChar"/>
    <w:uiPriority w:val="99"/>
    <w:unhideWhenUsed/>
    <w:rsid w:val="003262F3"/>
    <w:pPr>
      <w:tabs>
        <w:tab w:val="center" w:pos="4320"/>
        <w:tab w:val="right" w:pos="8640"/>
      </w:tabs>
    </w:pPr>
    <w:rPr>
      <w:rFonts w:asciiTheme="minorHAnsi" w:hAnsiTheme="minorHAnsi" w:cstheme="minorBidi"/>
      <w:lang w:val="en-US" w:eastAsia="en-US"/>
    </w:rPr>
  </w:style>
  <w:style w:type="character" w:customStyle="1" w:styleId="FooterChar">
    <w:name w:val="Footer Char"/>
    <w:basedOn w:val="DefaultParagraphFont"/>
    <w:link w:val="Footer"/>
    <w:uiPriority w:val="99"/>
    <w:rsid w:val="003262F3"/>
  </w:style>
  <w:style w:type="character" w:styleId="PageNumber">
    <w:name w:val="page number"/>
    <w:basedOn w:val="DefaultParagraphFont"/>
    <w:uiPriority w:val="99"/>
    <w:semiHidden/>
    <w:unhideWhenUsed/>
    <w:rsid w:val="003262F3"/>
  </w:style>
  <w:style w:type="character" w:customStyle="1" w:styleId="Heading1Char">
    <w:name w:val="Heading 1 Char"/>
    <w:basedOn w:val="DefaultParagraphFont"/>
    <w:link w:val="Heading1"/>
    <w:uiPriority w:val="9"/>
    <w:rsid w:val="00F4224C"/>
    <w:rPr>
      <w:rFonts w:asciiTheme="majorHAnsi" w:eastAsiaTheme="majorEastAsia" w:hAnsiTheme="majorHAnsi" w:cstheme="majorBidi"/>
      <w:b/>
      <w:bCs/>
      <w:kern w:val="32"/>
      <w:sz w:val="32"/>
      <w:szCs w:val="32"/>
      <w:lang w:val="en-GB"/>
    </w:rPr>
  </w:style>
  <w:style w:type="paragraph" w:styleId="BalloonText">
    <w:name w:val="Balloon Text"/>
    <w:basedOn w:val="Normal"/>
    <w:link w:val="BalloonTextChar"/>
    <w:uiPriority w:val="99"/>
    <w:semiHidden/>
    <w:unhideWhenUsed/>
    <w:rsid w:val="00F4224C"/>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F4224C"/>
    <w:rPr>
      <w:rFonts w:ascii="Lucida Grande" w:hAnsi="Lucida Grande" w:cs="Lucida Grande"/>
      <w:sz w:val="18"/>
      <w:szCs w:val="18"/>
    </w:rPr>
  </w:style>
  <w:style w:type="character" w:customStyle="1" w:styleId="apple-converted-space">
    <w:name w:val="apple-converted-space"/>
    <w:basedOn w:val="DefaultParagraphFont"/>
    <w:rsid w:val="00ED0665"/>
  </w:style>
  <w:style w:type="paragraph" w:customStyle="1" w:styleId="p1">
    <w:name w:val="p1"/>
    <w:basedOn w:val="Normal"/>
    <w:rsid w:val="00ED0665"/>
    <w:rPr>
      <w:rFonts w:ascii="Helvetica" w:hAnsi="Helvetica" w:cstheme="minorBidi"/>
      <w:sz w:val="16"/>
      <w:szCs w:val="16"/>
      <w:lang w:val="en-US" w:eastAsia="en-US"/>
    </w:rPr>
  </w:style>
  <w:style w:type="character" w:styleId="CommentReference">
    <w:name w:val="annotation reference"/>
    <w:basedOn w:val="DefaultParagraphFont"/>
    <w:uiPriority w:val="99"/>
    <w:semiHidden/>
    <w:unhideWhenUsed/>
    <w:rsid w:val="005D3971"/>
    <w:rPr>
      <w:sz w:val="18"/>
      <w:szCs w:val="18"/>
    </w:rPr>
  </w:style>
  <w:style w:type="paragraph" w:styleId="CommentText">
    <w:name w:val="annotation text"/>
    <w:basedOn w:val="Normal"/>
    <w:link w:val="CommentTextChar"/>
    <w:uiPriority w:val="99"/>
    <w:semiHidden/>
    <w:unhideWhenUsed/>
    <w:rsid w:val="005D3971"/>
    <w:rPr>
      <w:rFonts w:asciiTheme="minorHAnsi" w:hAnsiTheme="minorHAnsi" w:cstheme="minorBidi"/>
      <w:lang w:val="en-US" w:eastAsia="en-US"/>
    </w:rPr>
  </w:style>
  <w:style w:type="character" w:customStyle="1" w:styleId="CommentTextChar">
    <w:name w:val="Comment Text Char"/>
    <w:basedOn w:val="DefaultParagraphFont"/>
    <w:link w:val="CommentText"/>
    <w:uiPriority w:val="99"/>
    <w:semiHidden/>
    <w:rsid w:val="005D3971"/>
  </w:style>
  <w:style w:type="paragraph" w:styleId="CommentSubject">
    <w:name w:val="annotation subject"/>
    <w:basedOn w:val="CommentText"/>
    <w:next w:val="CommentText"/>
    <w:link w:val="CommentSubjectChar"/>
    <w:uiPriority w:val="99"/>
    <w:semiHidden/>
    <w:unhideWhenUsed/>
    <w:rsid w:val="005D3971"/>
    <w:rPr>
      <w:b/>
      <w:bCs/>
      <w:sz w:val="20"/>
      <w:szCs w:val="20"/>
    </w:rPr>
  </w:style>
  <w:style w:type="character" w:customStyle="1" w:styleId="CommentSubjectChar">
    <w:name w:val="Comment Subject Char"/>
    <w:basedOn w:val="CommentTextChar"/>
    <w:link w:val="CommentSubject"/>
    <w:uiPriority w:val="99"/>
    <w:semiHidden/>
    <w:rsid w:val="005D3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2435">
      <w:bodyDiv w:val="1"/>
      <w:marLeft w:val="0"/>
      <w:marRight w:val="0"/>
      <w:marTop w:val="0"/>
      <w:marBottom w:val="0"/>
      <w:divBdr>
        <w:top w:val="none" w:sz="0" w:space="0" w:color="auto"/>
        <w:left w:val="none" w:sz="0" w:space="0" w:color="auto"/>
        <w:bottom w:val="none" w:sz="0" w:space="0" w:color="auto"/>
        <w:right w:val="none" w:sz="0" w:space="0" w:color="auto"/>
      </w:divBdr>
    </w:div>
    <w:div w:id="484933102">
      <w:bodyDiv w:val="1"/>
      <w:marLeft w:val="0"/>
      <w:marRight w:val="0"/>
      <w:marTop w:val="0"/>
      <w:marBottom w:val="0"/>
      <w:divBdr>
        <w:top w:val="none" w:sz="0" w:space="0" w:color="auto"/>
        <w:left w:val="none" w:sz="0" w:space="0" w:color="auto"/>
        <w:bottom w:val="none" w:sz="0" w:space="0" w:color="auto"/>
        <w:right w:val="none" w:sz="0" w:space="0" w:color="auto"/>
      </w:divBdr>
    </w:div>
    <w:div w:id="510488181">
      <w:bodyDiv w:val="1"/>
      <w:marLeft w:val="0"/>
      <w:marRight w:val="0"/>
      <w:marTop w:val="0"/>
      <w:marBottom w:val="0"/>
      <w:divBdr>
        <w:top w:val="none" w:sz="0" w:space="0" w:color="auto"/>
        <w:left w:val="none" w:sz="0" w:space="0" w:color="auto"/>
        <w:bottom w:val="none" w:sz="0" w:space="0" w:color="auto"/>
        <w:right w:val="none" w:sz="0" w:space="0" w:color="auto"/>
      </w:divBdr>
      <w:divsChild>
        <w:div w:id="210387420">
          <w:marLeft w:val="0"/>
          <w:marRight w:val="0"/>
          <w:marTop w:val="0"/>
          <w:marBottom w:val="0"/>
          <w:divBdr>
            <w:top w:val="none" w:sz="0" w:space="0" w:color="auto"/>
            <w:left w:val="none" w:sz="0" w:space="0" w:color="auto"/>
            <w:bottom w:val="none" w:sz="0" w:space="0" w:color="auto"/>
            <w:right w:val="none" w:sz="0" w:space="0" w:color="auto"/>
          </w:divBdr>
          <w:divsChild>
            <w:div w:id="1265501878">
              <w:marLeft w:val="0"/>
              <w:marRight w:val="0"/>
              <w:marTop w:val="0"/>
              <w:marBottom w:val="0"/>
              <w:divBdr>
                <w:top w:val="none" w:sz="0" w:space="0" w:color="auto"/>
                <w:left w:val="none" w:sz="0" w:space="0" w:color="auto"/>
                <w:bottom w:val="none" w:sz="0" w:space="0" w:color="auto"/>
                <w:right w:val="none" w:sz="0" w:space="0" w:color="auto"/>
              </w:divBdr>
              <w:divsChild>
                <w:div w:id="833034190">
                  <w:marLeft w:val="0"/>
                  <w:marRight w:val="0"/>
                  <w:marTop w:val="0"/>
                  <w:marBottom w:val="0"/>
                  <w:divBdr>
                    <w:top w:val="none" w:sz="0" w:space="0" w:color="auto"/>
                    <w:left w:val="none" w:sz="0" w:space="0" w:color="auto"/>
                    <w:bottom w:val="none" w:sz="0" w:space="0" w:color="auto"/>
                    <w:right w:val="none" w:sz="0" w:space="0" w:color="auto"/>
                  </w:divBdr>
                  <w:divsChild>
                    <w:div w:id="17145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35265">
      <w:bodyDiv w:val="1"/>
      <w:marLeft w:val="0"/>
      <w:marRight w:val="0"/>
      <w:marTop w:val="0"/>
      <w:marBottom w:val="0"/>
      <w:divBdr>
        <w:top w:val="none" w:sz="0" w:space="0" w:color="auto"/>
        <w:left w:val="none" w:sz="0" w:space="0" w:color="auto"/>
        <w:bottom w:val="none" w:sz="0" w:space="0" w:color="auto"/>
        <w:right w:val="none" w:sz="0" w:space="0" w:color="auto"/>
      </w:divBdr>
    </w:div>
    <w:div w:id="699016559">
      <w:bodyDiv w:val="1"/>
      <w:marLeft w:val="0"/>
      <w:marRight w:val="0"/>
      <w:marTop w:val="0"/>
      <w:marBottom w:val="0"/>
      <w:divBdr>
        <w:top w:val="none" w:sz="0" w:space="0" w:color="auto"/>
        <w:left w:val="none" w:sz="0" w:space="0" w:color="auto"/>
        <w:bottom w:val="none" w:sz="0" w:space="0" w:color="auto"/>
        <w:right w:val="none" w:sz="0" w:space="0" w:color="auto"/>
      </w:divBdr>
    </w:div>
    <w:div w:id="861892676">
      <w:bodyDiv w:val="1"/>
      <w:marLeft w:val="0"/>
      <w:marRight w:val="0"/>
      <w:marTop w:val="0"/>
      <w:marBottom w:val="0"/>
      <w:divBdr>
        <w:top w:val="none" w:sz="0" w:space="0" w:color="auto"/>
        <w:left w:val="none" w:sz="0" w:space="0" w:color="auto"/>
        <w:bottom w:val="none" w:sz="0" w:space="0" w:color="auto"/>
        <w:right w:val="none" w:sz="0" w:space="0" w:color="auto"/>
      </w:divBdr>
    </w:div>
    <w:div w:id="953288158">
      <w:bodyDiv w:val="1"/>
      <w:marLeft w:val="0"/>
      <w:marRight w:val="0"/>
      <w:marTop w:val="0"/>
      <w:marBottom w:val="0"/>
      <w:divBdr>
        <w:top w:val="none" w:sz="0" w:space="0" w:color="auto"/>
        <w:left w:val="none" w:sz="0" w:space="0" w:color="auto"/>
        <w:bottom w:val="none" w:sz="0" w:space="0" w:color="auto"/>
        <w:right w:val="none" w:sz="0" w:space="0" w:color="auto"/>
      </w:divBdr>
    </w:div>
    <w:div w:id="963923681">
      <w:bodyDiv w:val="1"/>
      <w:marLeft w:val="0"/>
      <w:marRight w:val="0"/>
      <w:marTop w:val="0"/>
      <w:marBottom w:val="0"/>
      <w:divBdr>
        <w:top w:val="none" w:sz="0" w:space="0" w:color="auto"/>
        <w:left w:val="none" w:sz="0" w:space="0" w:color="auto"/>
        <w:bottom w:val="none" w:sz="0" w:space="0" w:color="auto"/>
        <w:right w:val="none" w:sz="0" w:space="0" w:color="auto"/>
      </w:divBdr>
    </w:div>
    <w:div w:id="1011301394">
      <w:bodyDiv w:val="1"/>
      <w:marLeft w:val="0"/>
      <w:marRight w:val="0"/>
      <w:marTop w:val="0"/>
      <w:marBottom w:val="0"/>
      <w:divBdr>
        <w:top w:val="none" w:sz="0" w:space="0" w:color="auto"/>
        <w:left w:val="none" w:sz="0" w:space="0" w:color="auto"/>
        <w:bottom w:val="none" w:sz="0" w:space="0" w:color="auto"/>
        <w:right w:val="none" w:sz="0" w:space="0" w:color="auto"/>
      </w:divBdr>
    </w:div>
    <w:div w:id="1080517429">
      <w:bodyDiv w:val="1"/>
      <w:marLeft w:val="0"/>
      <w:marRight w:val="0"/>
      <w:marTop w:val="0"/>
      <w:marBottom w:val="0"/>
      <w:divBdr>
        <w:top w:val="none" w:sz="0" w:space="0" w:color="auto"/>
        <w:left w:val="none" w:sz="0" w:space="0" w:color="auto"/>
        <w:bottom w:val="none" w:sz="0" w:space="0" w:color="auto"/>
        <w:right w:val="none" w:sz="0" w:space="0" w:color="auto"/>
      </w:divBdr>
    </w:div>
    <w:div w:id="1177110633">
      <w:bodyDiv w:val="1"/>
      <w:marLeft w:val="0"/>
      <w:marRight w:val="0"/>
      <w:marTop w:val="0"/>
      <w:marBottom w:val="0"/>
      <w:divBdr>
        <w:top w:val="none" w:sz="0" w:space="0" w:color="auto"/>
        <w:left w:val="none" w:sz="0" w:space="0" w:color="auto"/>
        <w:bottom w:val="none" w:sz="0" w:space="0" w:color="auto"/>
        <w:right w:val="none" w:sz="0" w:space="0" w:color="auto"/>
      </w:divBdr>
    </w:div>
    <w:div w:id="1318923482">
      <w:bodyDiv w:val="1"/>
      <w:marLeft w:val="0"/>
      <w:marRight w:val="0"/>
      <w:marTop w:val="0"/>
      <w:marBottom w:val="0"/>
      <w:divBdr>
        <w:top w:val="none" w:sz="0" w:space="0" w:color="auto"/>
        <w:left w:val="none" w:sz="0" w:space="0" w:color="auto"/>
        <w:bottom w:val="none" w:sz="0" w:space="0" w:color="auto"/>
        <w:right w:val="none" w:sz="0" w:space="0" w:color="auto"/>
      </w:divBdr>
      <w:divsChild>
        <w:div w:id="1691375160">
          <w:marLeft w:val="0"/>
          <w:marRight w:val="0"/>
          <w:marTop w:val="0"/>
          <w:marBottom w:val="0"/>
          <w:divBdr>
            <w:top w:val="none" w:sz="0" w:space="0" w:color="auto"/>
            <w:left w:val="none" w:sz="0" w:space="0" w:color="auto"/>
            <w:bottom w:val="none" w:sz="0" w:space="0" w:color="auto"/>
            <w:right w:val="none" w:sz="0" w:space="0" w:color="auto"/>
          </w:divBdr>
          <w:divsChild>
            <w:div w:id="749236254">
              <w:marLeft w:val="0"/>
              <w:marRight w:val="0"/>
              <w:marTop w:val="0"/>
              <w:marBottom w:val="0"/>
              <w:divBdr>
                <w:top w:val="none" w:sz="0" w:space="0" w:color="auto"/>
                <w:left w:val="none" w:sz="0" w:space="0" w:color="auto"/>
                <w:bottom w:val="none" w:sz="0" w:space="0" w:color="auto"/>
                <w:right w:val="none" w:sz="0" w:space="0" w:color="auto"/>
              </w:divBdr>
              <w:divsChild>
                <w:div w:id="1366950026">
                  <w:marLeft w:val="0"/>
                  <w:marRight w:val="0"/>
                  <w:marTop w:val="0"/>
                  <w:marBottom w:val="0"/>
                  <w:divBdr>
                    <w:top w:val="none" w:sz="0" w:space="0" w:color="auto"/>
                    <w:left w:val="none" w:sz="0" w:space="0" w:color="auto"/>
                    <w:bottom w:val="none" w:sz="0" w:space="0" w:color="auto"/>
                    <w:right w:val="none" w:sz="0" w:space="0" w:color="auto"/>
                  </w:divBdr>
                  <w:divsChild>
                    <w:div w:id="1705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60209">
      <w:bodyDiv w:val="1"/>
      <w:marLeft w:val="0"/>
      <w:marRight w:val="0"/>
      <w:marTop w:val="0"/>
      <w:marBottom w:val="0"/>
      <w:divBdr>
        <w:top w:val="none" w:sz="0" w:space="0" w:color="auto"/>
        <w:left w:val="none" w:sz="0" w:space="0" w:color="auto"/>
        <w:bottom w:val="none" w:sz="0" w:space="0" w:color="auto"/>
        <w:right w:val="none" w:sz="0" w:space="0" w:color="auto"/>
      </w:divBdr>
      <w:divsChild>
        <w:div w:id="1485507654">
          <w:marLeft w:val="0"/>
          <w:marRight w:val="0"/>
          <w:marTop w:val="0"/>
          <w:marBottom w:val="0"/>
          <w:divBdr>
            <w:top w:val="none" w:sz="0" w:space="0" w:color="auto"/>
            <w:left w:val="none" w:sz="0" w:space="0" w:color="auto"/>
            <w:bottom w:val="none" w:sz="0" w:space="0" w:color="auto"/>
            <w:right w:val="none" w:sz="0" w:space="0" w:color="auto"/>
          </w:divBdr>
          <w:divsChild>
            <w:div w:id="976766976">
              <w:marLeft w:val="0"/>
              <w:marRight w:val="0"/>
              <w:marTop w:val="0"/>
              <w:marBottom w:val="0"/>
              <w:divBdr>
                <w:top w:val="none" w:sz="0" w:space="0" w:color="auto"/>
                <w:left w:val="none" w:sz="0" w:space="0" w:color="auto"/>
                <w:bottom w:val="none" w:sz="0" w:space="0" w:color="auto"/>
                <w:right w:val="none" w:sz="0" w:space="0" w:color="auto"/>
              </w:divBdr>
              <w:divsChild>
                <w:div w:id="1335719906">
                  <w:marLeft w:val="0"/>
                  <w:marRight w:val="0"/>
                  <w:marTop w:val="0"/>
                  <w:marBottom w:val="0"/>
                  <w:divBdr>
                    <w:top w:val="none" w:sz="0" w:space="0" w:color="auto"/>
                    <w:left w:val="none" w:sz="0" w:space="0" w:color="auto"/>
                    <w:bottom w:val="none" w:sz="0" w:space="0" w:color="auto"/>
                    <w:right w:val="none" w:sz="0" w:space="0" w:color="auto"/>
                  </w:divBdr>
                  <w:divsChild>
                    <w:div w:id="2264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79168">
      <w:bodyDiv w:val="1"/>
      <w:marLeft w:val="0"/>
      <w:marRight w:val="0"/>
      <w:marTop w:val="0"/>
      <w:marBottom w:val="0"/>
      <w:divBdr>
        <w:top w:val="none" w:sz="0" w:space="0" w:color="auto"/>
        <w:left w:val="none" w:sz="0" w:space="0" w:color="auto"/>
        <w:bottom w:val="none" w:sz="0" w:space="0" w:color="auto"/>
        <w:right w:val="none" w:sz="0" w:space="0" w:color="auto"/>
      </w:divBdr>
      <w:divsChild>
        <w:div w:id="1706100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1992910">
              <w:marLeft w:val="0"/>
              <w:marRight w:val="0"/>
              <w:marTop w:val="0"/>
              <w:marBottom w:val="0"/>
              <w:divBdr>
                <w:top w:val="none" w:sz="0" w:space="0" w:color="auto"/>
                <w:left w:val="none" w:sz="0" w:space="0" w:color="auto"/>
                <w:bottom w:val="none" w:sz="0" w:space="0" w:color="auto"/>
                <w:right w:val="none" w:sz="0" w:space="0" w:color="auto"/>
              </w:divBdr>
              <w:divsChild>
                <w:div w:id="2623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55857">
      <w:bodyDiv w:val="1"/>
      <w:marLeft w:val="0"/>
      <w:marRight w:val="0"/>
      <w:marTop w:val="0"/>
      <w:marBottom w:val="0"/>
      <w:divBdr>
        <w:top w:val="none" w:sz="0" w:space="0" w:color="auto"/>
        <w:left w:val="none" w:sz="0" w:space="0" w:color="auto"/>
        <w:bottom w:val="none" w:sz="0" w:space="0" w:color="auto"/>
        <w:right w:val="none" w:sz="0" w:space="0" w:color="auto"/>
      </w:divBdr>
    </w:div>
    <w:div w:id="1874883194">
      <w:bodyDiv w:val="1"/>
      <w:marLeft w:val="0"/>
      <w:marRight w:val="0"/>
      <w:marTop w:val="0"/>
      <w:marBottom w:val="0"/>
      <w:divBdr>
        <w:top w:val="none" w:sz="0" w:space="0" w:color="auto"/>
        <w:left w:val="none" w:sz="0" w:space="0" w:color="auto"/>
        <w:bottom w:val="none" w:sz="0" w:space="0" w:color="auto"/>
        <w:right w:val="none" w:sz="0" w:space="0" w:color="auto"/>
      </w:divBdr>
    </w:div>
    <w:div w:id="2045671468">
      <w:bodyDiv w:val="1"/>
      <w:marLeft w:val="0"/>
      <w:marRight w:val="0"/>
      <w:marTop w:val="0"/>
      <w:marBottom w:val="0"/>
      <w:divBdr>
        <w:top w:val="none" w:sz="0" w:space="0" w:color="auto"/>
        <w:left w:val="none" w:sz="0" w:space="0" w:color="auto"/>
        <w:bottom w:val="none" w:sz="0" w:space="0" w:color="auto"/>
        <w:right w:val="none" w:sz="0" w:space="0" w:color="auto"/>
      </w:divBdr>
      <w:divsChild>
        <w:div w:id="1581676842">
          <w:marLeft w:val="0"/>
          <w:marRight w:val="0"/>
          <w:marTop w:val="0"/>
          <w:marBottom w:val="0"/>
          <w:divBdr>
            <w:top w:val="none" w:sz="0" w:space="0" w:color="auto"/>
            <w:left w:val="none" w:sz="0" w:space="0" w:color="auto"/>
            <w:bottom w:val="none" w:sz="0" w:space="0" w:color="auto"/>
            <w:right w:val="none" w:sz="0" w:space="0" w:color="auto"/>
          </w:divBdr>
          <w:divsChild>
            <w:div w:id="1490440210">
              <w:marLeft w:val="0"/>
              <w:marRight w:val="0"/>
              <w:marTop w:val="0"/>
              <w:marBottom w:val="0"/>
              <w:divBdr>
                <w:top w:val="none" w:sz="0" w:space="0" w:color="auto"/>
                <w:left w:val="none" w:sz="0" w:space="0" w:color="auto"/>
                <w:bottom w:val="none" w:sz="0" w:space="0" w:color="auto"/>
                <w:right w:val="none" w:sz="0" w:space="0" w:color="auto"/>
              </w:divBdr>
              <w:divsChild>
                <w:div w:id="475295183">
                  <w:marLeft w:val="0"/>
                  <w:marRight w:val="0"/>
                  <w:marTop w:val="0"/>
                  <w:marBottom w:val="0"/>
                  <w:divBdr>
                    <w:top w:val="none" w:sz="0" w:space="0" w:color="auto"/>
                    <w:left w:val="none" w:sz="0" w:space="0" w:color="auto"/>
                    <w:bottom w:val="none" w:sz="0" w:space="0" w:color="auto"/>
                    <w:right w:val="none" w:sz="0" w:space="0" w:color="auto"/>
                  </w:divBdr>
                  <w:divsChild>
                    <w:div w:id="9391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06005">
      <w:bodyDiv w:val="1"/>
      <w:marLeft w:val="0"/>
      <w:marRight w:val="0"/>
      <w:marTop w:val="0"/>
      <w:marBottom w:val="0"/>
      <w:divBdr>
        <w:top w:val="none" w:sz="0" w:space="0" w:color="auto"/>
        <w:left w:val="none" w:sz="0" w:space="0" w:color="auto"/>
        <w:bottom w:val="none" w:sz="0" w:space="0" w:color="auto"/>
        <w:right w:val="none" w:sz="0" w:space="0" w:color="auto"/>
      </w:divBdr>
    </w:div>
    <w:div w:id="2091346937">
      <w:bodyDiv w:val="1"/>
      <w:marLeft w:val="0"/>
      <w:marRight w:val="0"/>
      <w:marTop w:val="0"/>
      <w:marBottom w:val="0"/>
      <w:divBdr>
        <w:top w:val="none" w:sz="0" w:space="0" w:color="auto"/>
        <w:left w:val="none" w:sz="0" w:space="0" w:color="auto"/>
        <w:bottom w:val="none" w:sz="0" w:space="0" w:color="auto"/>
        <w:right w:val="none" w:sz="0" w:space="0" w:color="auto"/>
      </w:divBdr>
      <w:divsChild>
        <w:div w:id="407852238">
          <w:marLeft w:val="0"/>
          <w:marRight w:val="0"/>
          <w:marTop w:val="0"/>
          <w:marBottom w:val="0"/>
          <w:divBdr>
            <w:top w:val="none" w:sz="0" w:space="0" w:color="auto"/>
            <w:left w:val="none" w:sz="0" w:space="0" w:color="auto"/>
            <w:bottom w:val="none" w:sz="0" w:space="0" w:color="auto"/>
            <w:right w:val="none" w:sz="0" w:space="0" w:color="auto"/>
          </w:divBdr>
          <w:divsChild>
            <w:div w:id="840775684">
              <w:marLeft w:val="0"/>
              <w:marRight w:val="0"/>
              <w:marTop w:val="0"/>
              <w:marBottom w:val="0"/>
              <w:divBdr>
                <w:top w:val="none" w:sz="0" w:space="0" w:color="auto"/>
                <w:left w:val="none" w:sz="0" w:space="0" w:color="auto"/>
                <w:bottom w:val="none" w:sz="0" w:space="0" w:color="auto"/>
                <w:right w:val="none" w:sz="0" w:space="0" w:color="auto"/>
              </w:divBdr>
              <w:divsChild>
                <w:div w:id="1132596770">
                  <w:marLeft w:val="0"/>
                  <w:marRight w:val="0"/>
                  <w:marTop w:val="0"/>
                  <w:marBottom w:val="0"/>
                  <w:divBdr>
                    <w:top w:val="none" w:sz="0" w:space="0" w:color="auto"/>
                    <w:left w:val="none" w:sz="0" w:space="0" w:color="auto"/>
                    <w:bottom w:val="none" w:sz="0" w:space="0" w:color="auto"/>
                    <w:right w:val="none" w:sz="0" w:space="0" w:color="auto"/>
                  </w:divBdr>
                  <w:divsChild>
                    <w:div w:id="8513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3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DD900-3484-CE42-B986-722079B30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6545</Words>
  <Characters>37312</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Oxford University</Company>
  <LinksUpToDate>false</LinksUpToDate>
  <CharactersWithSpaces>43770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Gong</dc:creator>
  <cp:keywords/>
  <dc:description/>
  <cp:lastModifiedBy>Laura Herz</cp:lastModifiedBy>
  <cp:revision>6</cp:revision>
  <cp:lastPrinted>2017-10-25T09:02:00Z</cp:lastPrinted>
  <dcterms:created xsi:type="dcterms:W3CDTF">2017-10-26T07:53:00Z</dcterms:created>
  <dcterms:modified xsi:type="dcterms:W3CDTF">2017-10-26T08:30:00Z</dcterms:modified>
</cp:coreProperties>
</file>