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xjj5qx7u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(4-Day)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o5srljrf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5wwco3bok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Mission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athletes how to strength train confidently through foundational barbell movements while maintaining the adherence and confidence developed in Strength Foundation 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wg7n899n0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Strength Foundation I (4-Day)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focused 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Gym confidence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movement patterns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enjoyment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II focuses on: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Barbell competency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training literacy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management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independence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sxplfk80m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Design Decisions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1n25iwquf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Squat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 weekly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serves as the primary technical skill of the program and benefits from repeated exposure.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0eow1efss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Horizontal Press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Bench Press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1x weekly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gain barbell pressing experience while avoiding repetitive training.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pressing volume is supplied through Push-Up Progressions and Shoulder Presses.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4icggk4rj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Hinge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Romanian Deadlift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progression from Dumbbell Romanian Deadlifts with lower technical demands than conventional deadlifts.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i7zfk80fr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Identity Structure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Builder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what I'm doing."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Physique Builder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see progress."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C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getting stronger."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Builder / Graduation Builder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want to come back."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eventually: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ready for Strength Builder I."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5l5g80eut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Graduation Decision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5–6 introduce: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Set + Backoff Set structure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athletes how to select challenging training weights and make intelligent adjustments without introducing advanced programming concepts.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m3j9b26ng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Definition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defined as: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completion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confidence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barbell competency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gym independence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for Strength Builder 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6etllcalm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Successor Program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 I (4-Day)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should complete Foundation II with sufficient competency to begin more structured strength progression.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