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jrgt44ae0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 Foundation II (4-Day)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017838j4g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Lock Record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02zdhhll6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 Workflow Status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Exercise Selection Architecture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Coaching Audit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Compliance Review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 Recommendation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bmug2nk2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Confidence Score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10.0 / 10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wuidgcpjz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Strengths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progression from Strength Foundation I (4-Day)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barbell competency development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athlete adherence potential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workout identities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recovery profile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 preparation for Strength Builder 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m1azeyjt0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Risks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identified requiring revision.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coaching considerations regarding exercise technique and recovery apply.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p7ilj5riy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 Decision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6zt4lftmo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Athlete Outcome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graduation, athletes should confidently understand: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Squat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Barbell Bench Press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Barbell Romanian Deadlift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load management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strength training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athlete statement: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how to strength train."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xbdsciz9n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Status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Weeks 1–2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Weeks 3–4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Weeks 5–6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3psx4fdgd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Approval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STRENGTH FOUNDATION II (4-DAY) APPROVED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Successor Program: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Builder I (4-Day)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