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m5ugybx20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II (3-Day)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b7dk4aqx3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Record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a0no9bee7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Mission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athletes how to strength train confidently using foundational barbell movements.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mrfsf29iq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Strength Foundation 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 focused 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 familiarity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II focuses 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Barbell competency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training literacy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independence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qovahx8l6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Design Decisions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te2otgqin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Squat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Selected:</w:t>
        <w:br w:type="textWrapping"/>
        <w:t xml:space="preserve">Back Squat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Athletes were introduced to Back Squat during the Foundation I graduation phase and are now ready for regular exposure.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aels6a4hm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Hinge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Selected:</w:t>
        <w:br w:type="textWrapping"/>
        <w:t xml:space="preserve">Barbell Romanian Deadlift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Natural progression from Dumbbell RDL with lower technical demand than conventional deadlifts.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1rjmax3oe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Horizontal Push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Selected:</w:t>
        <w:br w:type="textWrapping"/>
        <w:t xml:space="preserve">Barbell Bench Press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Introduces foundational barbell pressing and prepares athletes for future strength programs.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a8tzf0tf8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Identity Structure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A</w:t>
        <w:br w:type="textWrapping"/>
        <w:t xml:space="preserve">Confidence Builder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 know what I'm doing."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B</w:t>
        <w:br w:type="textWrapping"/>
        <w:t xml:space="preserve">Strength Builder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"I'm getting stronger."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C</w:t>
        <w:br w:type="textWrapping"/>
        <w:t xml:space="preserve">Momentum Builder / Graduation Builder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 enjoy training."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eventually: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ready for Strength Builder I."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62wwi49p7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Graduation Decision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5–6 introduce: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Set + Backoff Set structure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basic intensity management without introducing percentages, RPE systems, or advanced programming concepts.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vmiv1mymq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Definition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defined as: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completion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confidence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barbell competency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training habits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for Strength Builder 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mrfi46vka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Successor Program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Builder I (3-Day)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should complete Foundation II with sufficient confidence and competency to begin more structured strength progression.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