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qcal9403j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Strength Foundation II (3-Day)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3wjiea8k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Lock Record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6csgk5er3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Production Workflow Status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Blueprint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Exercise Selection Architecture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Coaching Audit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Compliance Review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 Recommendation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7t3og0byn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Confidence Score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10.0 / 10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r24az2nlr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Strengths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transition from Foundation I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barbell competency development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confidence-building value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recovery profile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progression arc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preparation for Strength Builder 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ucdcbx8n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Risks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identified that require revision.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coaching considerations apply regarding exercise technique and recovery.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xupex8dw9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Lock Decision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y4nh8o8tt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Athlete Outcome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graduation, athletes should confidently understand: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 Squat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Barbell Bench Press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Barbell Romanian Deadlift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load management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strength training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athlete statement: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know how to strength train."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bp4uk4ixs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Status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Weeks 1–2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Weeks 3–4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Weeks 5–6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1sa38vxdx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Approval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🔒 STRENGTH FOUNDATION II (3-DAY) APPROVED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 Program: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Builder I (3-Day)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