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mmapmw0qb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II (3-Day)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pgxyyzuv1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&amp; Benchmark Analysis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COMPLETE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6thbta5qy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optimal progression from Strength Foundation I into structured barbell training while maintaining beginner friendliness, confidence, adherence, and recovery.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ocnuha7vs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Question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athletes transition from beginner movement competency into foundational strength training?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not to create an intermediate program.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to teach athletes how to strength train confidently.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jfww7z6cs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Findings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wv8tnpopt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Barbell Exposure Should Be Introduced Gradually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graduating Strength Foundation I already possess: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Goblet Squat competency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RDL competency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Bench experience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gym confidence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progression should introduce barbells without overwhelming the athlete.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gc2alh5fd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Foundational Barbell Lifts Provide The Greatest Long-Term Value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lifts were selected as primary teaching tools: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Squat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Barbell Bench Press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Barbell Romanian Deadlift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movements create strong foundations for future strength development.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q525cjtfe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Complexity Is Not Required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supported increasing competency rather than increasing complexity.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should come from: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execution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confidence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familiarity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advanced programming methods.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abmks55of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Consistency Remains The Priority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successful athletes continue training.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and adherence remain more important than maximizing training stress.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8rf8qefhx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Direction Selected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was designed to teach athletes: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Squat confidently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 confidently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Hinge confidently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training sessions independently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sacrificing recovery.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51lgxytqe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Conclusion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II serves as the bridge between beginner training and structured strength development.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should complete the program feeling: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how to strength train."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