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BC0AD" w14:textId="07FEC6CC" w:rsidR="00EC4050" w:rsidRDefault="00ED2089" w:rsidP="00EC4050">
      <w:pPr>
        <w:widowControl w:val="0"/>
        <w:pBdr>
          <w:top w:val="nil"/>
          <w:left w:val="nil"/>
          <w:bottom w:val="nil"/>
          <w:right w:val="nil"/>
          <w:between w:val="nil"/>
        </w:pBdr>
        <w:spacing w:line="240" w:lineRule="auto"/>
        <w:rPr>
          <w:rFonts w:ascii="Times New Roman" w:eastAsia="Times New Roman" w:hAnsi="Times New Roman" w:cs="Times New Roman"/>
          <w:b/>
          <w:color w:val="000000"/>
          <w:sz w:val="30"/>
          <w:szCs w:val="30"/>
          <w:lang w:val="en-GB"/>
        </w:rPr>
      </w:pPr>
      <w:r>
        <w:rPr>
          <w:rFonts w:ascii="Times New Roman" w:eastAsia="Times New Roman" w:hAnsi="Times New Roman" w:cs="Times New Roman"/>
          <w:color w:val="000000"/>
          <w:lang w:val="en-GB"/>
        </w:rPr>
        <w:t>February</w:t>
      </w:r>
      <w:r w:rsidR="00EC4050">
        <w:rPr>
          <w:rFonts w:ascii="Times New Roman" w:eastAsia="Times New Roman" w:hAnsi="Times New Roman" w:cs="Times New Roman"/>
          <w:color w:val="000000"/>
          <w:lang w:val="en-GB"/>
        </w:rPr>
        <w:t xml:space="preserve"> 2023</w:t>
      </w:r>
    </w:p>
    <w:p w14:paraId="553D6BEA" w14:textId="3061C833" w:rsidR="00EC4050" w:rsidRPr="00EC4050" w:rsidRDefault="00EC4050" w:rsidP="00EC4050">
      <w:pPr>
        <w:widowControl w:val="0"/>
        <w:pBdr>
          <w:top w:val="nil"/>
          <w:left w:val="nil"/>
          <w:bottom w:val="nil"/>
          <w:right w:val="nil"/>
          <w:between w:val="nil"/>
        </w:pBdr>
        <w:spacing w:before="264" w:line="240" w:lineRule="auto"/>
        <w:jc w:val="center"/>
        <w:rPr>
          <w:rFonts w:ascii="Times New Roman" w:eastAsia="Times New Roman" w:hAnsi="Times New Roman" w:cs="Times New Roman"/>
          <w:b/>
          <w:color w:val="000000"/>
          <w:sz w:val="30"/>
          <w:szCs w:val="30"/>
          <w:lang w:val="en-GB"/>
        </w:rPr>
      </w:pPr>
      <w:r w:rsidRPr="00EC4050">
        <w:rPr>
          <w:rFonts w:ascii="Times New Roman" w:eastAsia="Times New Roman" w:hAnsi="Times New Roman" w:cs="Times New Roman"/>
          <w:b/>
          <w:color w:val="000000"/>
          <w:sz w:val="30"/>
          <w:szCs w:val="30"/>
          <w:lang w:val="en-GB"/>
        </w:rPr>
        <w:t>Statistical Analysis of Changes in Cultural Participation in Italy Between 2019 and 2020: The Impact of COVID-19</w:t>
      </w:r>
    </w:p>
    <w:p w14:paraId="662DE5BD" w14:textId="6D4029D2" w:rsidR="00EC4050" w:rsidRPr="00ED2089" w:rsidRDefault="00EC4050" w:rsidP="00EC4050">
      <w:pPr>
        <w:widowControl w:val="0"/>
        <w:pBdr>
          <w:top w:val="nil"/>
          <w:left w:val="nil"/>
          <w:bottom w:val="nil"/>
          <w:right w:val="nil"/>
          <w:between w:val="nil"/>
        </w:pBdr>
        <w:spacing w:line="228" w:lineRule="auto"/>
        <w:ind w:right="100"/>
        <w:rPr>
          <w:rFonts w:ascii="Times New Roman" w:eastAsia="Times New Roman" w:hAnsi="Times New Roman" w:cs="Times New Roman"/>
          <w:color w:val="000000"/>
          <w:lang w:val="en-GB"/>
        </w:rPr>
      </w:pPr>
    </w:p>
    <w:p w14:paraId="0F576AEA" w14:textId="77777777" w:rsidR="00EC4050" w:rsidRDefault="00EC4050" w:rsidP="00EC4050">
      <w:pPr>
        <w:widowControl w:val="0"/>
        <w:pBdr>
          <w:top w:val="nil"/>
          <w:left w:val="nil"/>
          <w:bottom w:val="nil"/>
          <w:right w:val="nil"/>
          <w:between w:val="nil"/>
        </w:pBdr>
        <w:spacing w:line="228" w:lineRule="auto"/>
        <w:ind w:right="100"/>
        <w:jc w:val="center"/>
        <w:rPr>
          <w:rFonts w:ascii="Times New Roman" w:eastAsia="Times New Roman" w:hAnsi="Times New Roman" w:cs="Times New Roman"/>
          <w:b/>
          <w:bCs/>
          <w:color w:val="000000"/>
          <w:sz w:val="24"/>
          <w:szCs w:val="24"/>
          <w:lang w:val="en-GB"/>
        </w:rPr>
      </w:pPr>
    </w:p>
    <w:p w14:paraId="16D5EC9A" w14:textId="09D36F09" w:rsidR="00EC4050" w:rsidRPr="00EC4050" w:rsidRDefault="00EC4050" w:rsidP="00EC4050">
      <w:pPr>
        <w:widowControl w:val="0"/>
        <w:pBdr>
          <w:top w:val="nil"/>
          <w:left w:val="nil"/>
          <w:bottom w:val="nil"/>
          <w:right w:val="nil"/>
          <w:between w:val="nil"/>
        </w:pBdr>
        <w:spacing w:line="228" w:lineRule="auto"/>
        <w:ind w:right="100"/>
        <w:jc w:val="center"/>
        <w:rPr>
          <w:rFonts w:ascii="Times New Roman" w:eastAsia="Times New Roman" w:hAnsi="Times New Roman" w:cs="Times New Roman"/>
          <w:b/>
          <w:bCs/>
          <w:color w:val="000000"/>
          <w:sz w:val="24"/>
          <w:szCs w:val="24"/>
          <w:lang w:val="en-GB"/>
        </w:rPr>
      </w:pPr>
      <w:r w:rsidRPr="00EC4050">
        <w:rPr>
          <w:rFonts w:ascii="Times New Roman" w:eastAsia="Times New Roman" w:hAnsi="Times New Roman" w:cs="Times New Roman"/>
          <w:b/>
          <w:bCs/>
          <w:color w:val="000000"/>
          <w:sz w:val="24"/>
          <w:szCs w:val="24"/>
          <w:lang w:val="en-GB"/>
        </w:rPr>
        <w:t>Abstract</w:t>
      </w:r>
    </w:p>
    <w:p w14:paraId="5FD43332" w14:textId="77777777" w:rsidR="00EC4050" w:rsidRPr="00EC4050" w:rsidRDefault="00EC4050" w:rsidP="00EC4050">
      <w:pPr>
        <w:widowControl w:val="0"/>
        <w:pBdr>
          <w:top w:val="nil"/>
          <w:left w:val="nil"/>
          <w:bottom w:val="nil"/>
          <w:right w:val="nil"/>
          <w:between w:val="nil"/>
        </w:pBdr>
        <w:spacing w:line="228" w:lineRule="auto"/>
        <w:ind w:right="100"/>
        <w:jc w:val="center"/>
        <w:rPr>
          <w:rFonts w:ascii="Times New Roman" w:eastAsia="Times New Roman" w:hAnsi="Times New Roman" w:cs="Times New Roman"/>
          <w:b/>
          <w:bCs/>
          <w:color w:val="000000"/>
          <w:sz w:val="26"/>
          <w:szCs w:val="26"/>
          <w:lang w:val="en-GB"/>
        </w:rPr>
      </w:pPr>
    </w:p>
    <w:p w14:paraId="68599AF1" w14:textId="418B4C09" w:rsidR="000F234E" w:rsidRDefault="00EC4050" w:rsidP="00EC4050">
      <w:pPr>
        <w:widowControl w:val="0"/>
        <w:pBdr>
          <w:top w:val="nil"/>
          <w:left w:val="nil"/>
          <w:bottom w:val="nil"/>
          <w:right w:val="nil"/>
          <w:between w:val="nil"/>
        </w:pBdr>
        <w:spacing w:line="228" w:lineRule="auto"/>
        <w:ind w:right="100"/>
        <w:jc w:val="both"/>
        <w:rPr>
          <w:rFonts w:ascii="Times New Roman" w:eastAsia="Times New Roman" w:hAnsi="Times New Roman" w:cs="Times New Roman"/>
          <w:color w:val="000000"/>
        </w:rPr>
      </w:pPr>
      <w:r>
        <w:rPr>
          <w:rFonts w:ascii="Times New Roman" w:eastAsia="Times New Roman" w:hAnsi="Times New Roman" w:cs="Times New Roman"/>
          <w:color w:val="000000"/>
          <w:lang w:val="en-GB"/>
        </w:rPr>
        <w:t>T</w:t>
      </w:r>
      <w:r w:rsidR="00000000" w:rsidRPr="00EC4050">
        <w:rPr>
          <w:rFonts w:ascii="Times New Roman" w:eastAsia="Times New Roman" w:hAnsi="Times New Roman" w:cs="Times New Roman"/>
          <w:color w:val="000000"/>
          <w:lang w:val="en-GB"/>
        </w:rPr>
        <w:t xml:space="preserve">he purpose of the analysis is to observe how the tendency to participate in entertainment activities  outside the home varies according to its type, geographical area, age, gender, and education level.  Through the analysis of the attendance at each activity at the territorial level, it is discovered that  the inhabitants of the centre-north are more active from the cultural activity point of view. This  phenomenon is probably due to the geographical distribution of the offer of cultural services. Until  now, the analysis covered each type of service, but to analyse the relationship between age, gender,  educational level, and the type of entertainment activity, we focused on the attendance in a year  related only to some cultural services. The analysis relies on data provided by Istat, which is </w:t>
      </w:r>
      <w:r w:rsidRPr="00EC4050">
        <w:rPr>
          <w:rFonts w:ascii="Times New Roman" w:eastAsia="Times New Roman" w:hAnsi="Times New Roman" w:cs="Times New Roman"/>
          <w:color w:val="000000"/>
          <w:lang w:val="en-GB"/>
        </w:rPr>
        <w:t>the Italian</w:t>
      </w:r>
      <w:r w:rsidR="00000000" w:rsidRPr="00EC4050">
        <w:rPr>
          <w:rFonts w:ascii="Times New Roman" w:eastAsia="Times New Roman" w:hAnsi="Times New Roman" w:cs="Times New Roman"/>
          <w:color w:val="000000"/>
          <w:lang w:val="en-GB"/>
        </w:rPr>
        <w:t xml:space="preserve"> National Institute of Statistics. </w:t>
      </w:r>
      <w:r w:rsidR="00000000">
        <w:rPr>
          <w:rFonts w:ascii="Times New Roman" w:eastAsia="Times New Roman" w:hAnsi="Times New Roman" w:cs="Times New Roman"/>
          <w:color w:val="000000"/>
        </w:rPr>
        <w:t xml:space="preserve">The datasets used are </w:t>
      </w:r>
      <w:r w:rsidR="00000000">
        <w:rPr>
          <w:rFonts w:ascii="Times New Roman" w:eastAsia="Times New Roman" w:hAnsi="Times New Roman" w:cs="Times New Roman"/>
          <w:i/>
          <w:color w:val="0E101A"/>
        </w:rPr>
        <w:t xml:space="preserve">ASPETTI DELLA </w:t>
      </w:r>
      <w:r>
        <w:rPr>
          <w:rFonts w:ascii="Times New Roman" w:eastAsia="Times New Roman" w:hAnsi="Times New Roman" w:cs="Times New Roman"/>
          <w:i/>
          <w:color w:val="0E101A"/>
        </w:rPr>
        <w:t>VITA QUOTIDIANA</w:t>
      </w:r>
      <w:r w:rsidR="00000000">
        <w:rPr>
          <w:rFonts w:ascii="Times New Roman" w:eastAsia="Times New Roman" w:hAnsi="Times New Roman" w:cs="Times New Roman"/>
          <w:i/>
          <w:color w:val="0E101A"/>
        </w:rPr>
        <w:t xml:space="preserve"> </w:t>
      </w:r>
      <w:r w:rsidR="00000000">
        <w:rPr>
          <w:rFonts w:ascii="Times New Roman" w:eastAsia="Times New Roman" w:hAnsi="Times New Roman" w:cs="Times New Roman"/>
          <w:color w:val="000000"/>
        </w:rPr>
        <w:t xml:space="preserve">of 2019 and 2020. </w:t>
      </w:r>
    </w:p>
    <w:p w14:paraId="0C5703E8" w14:textId="77777777" w:rsidR="00EC4050" w:rsidRDefault="00EC4050" w:rsidP="00EC4050">
      <w:pPr>
        <w:widowControl w:val="0"/>
        <w:pBdr>
          <w:top w:val="nil"/>
          <w:left w:val="nil"/>
          <w:bottom w:val="nil"/>
          <w:right w:val="nil"/>
          <w:between w:val="nil"/>
        </w:pBdr>
        <w:spacing w:line="228" w:lineRule="auto"/>
        <w:ind w:right="100"/>
        <w:jc w:val="center"/>
        <w:rPr>
          <w:rFonts w:ascii="Times New Roman" w:eastAsia="Times New Roman" w:hAnsi="Times New Roman" w:cs="Times New Roman"/>
          <w:color w:val="000000"/>
        </w:rPr>
      </w:pPr>
    </w:p>
    <w:p w14:paraId="31FC35C1" w14:textId="5A30ACBF" w:rsidR="00EC4050" w:rsidRPr="00EC4050" w:rsidRDefault="00EC4050" w:rsidP="00EC4050">
      <w:pPr>
        <w:widowControl w:val="0"/>
        <w:pBdr>
          <w:top w:val="nil"/>
          <w:left w:val="nil"/>
          <w:bottom w:val="nil"/>
          <w:right w:val="nil"/>
          <w:between w:val="nil"/>
        </w:pBdr>
        <w:spacing w:line="228" w:lineRule="auto"/>
        <w:ind w:right="100"/>
        <w:jc w:val="center"/>
        <w:rPr>
          <w:rFonts w:ascii="Times New Roman" w:eastAsia="Times New Roman" w:hAnsi="Times New Roman" w:cs="Times New Roman"/>
          <w:b/>
          <w:bCs/>
          <w:color w:val="000000"/>
          <w:sz w:val="24"/>
          <w:szCs w:val="24"/>
        </w:rPr>
      </w:pPr>
      <w:r w:rsidRPr="00EC4050">
        <w:rPr>
          <w:rFonts w:ascii="Times New Roman" w:eastAsia="Times New Roman" w:hAnsi="Times New Roman" w:cs="Times New Roman"/>
          <w:b/>
          <w:bCs/>
          <w:color w:val="000000"/>
          <w:sz w:val="24"/>
          <w:szCs w:val="24"/>
        </w:rPr>
        <w:t>The statistical analysis</w:t>
      </w:r>
    </w:p>
    <w:p w14:paraId="354F583C" w14:textId="77777777" w:rsidR="00EC4050" w:rsidRPr="00EC4050" w:rsidRDefault="00EC4050" w:rsidP="00EC4050">
      <w:pPr>
        <w:widowControl w:val="0"/>
        <w:pBdr>
          <w:top w:val="nil"/>
          <w:left w:val="nil"/>
          <w:bottom w:val="nil"/>
          <w:right w:val="nil"/>
          <w:between w:val="nil"/>
        </w:pBdr>
        <w:spacing w:line="228" w:lineRule="auto"/>
        <w:ind w:right="100"/>
        <w:jc w:val="both"/>
        <w:rPr>
          <w:rFonts w:ascii="Times New Roman" w:eastAsia="Times New Roman" w:hAnsi="Times New Roman" w:cs="Times New Roman"/>
          <w:color w:val="000000"/>
        </w:rPr>
      </w:pPr>
    </w:p>
    <w:p w14:paraId="4FA3CF69" w14:textId="77777777" w:rsidR="00D80229" w:rsidRDefault="00000000" w:rsidP="007E1D8C">
      <w:pPr>
        <w:widowControl w:val="0"/>
        <w:pBdr>
          <w:top w:val="nil"/>
          <w:left w:val="nil"/>
          <w:bottom w:val="nil"/>
          <w:right w:val="nil"/>
          <w:between w:val="nil"/>
        </w:pBdr>
        <w:spacing w:line="229" w:lineRule="auto"/>
        <w:ind w:right="27"/>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Individuals can carry out different activities in their free time: they can visit museums, exhibitions,  archaeological sites, or monuments, attend concerts of classical music or otherwise, and participate  in theatre performances or film screenings and it is interesting to see how participation in these  cultural services changes according to the type and the considered timeframe. Focusing on the  timespan between 2019 and 2020, a reduction in attendance of these services is evident. It is  5.6723% less than the 2019 participation. The decline is attested even by the Istat report about  culture and free time published in 2020 and related to 2019. It is noticeable in each outside-home  entertainment activity because it is due to the spread of COVID-19. The number of deaths it has  caused, and therefore its dangerousness, has led the ministry of culture to adopt on 8 March 2020 an  urgent provision with which he declared the suspension of events and performances of any nature,  including cinema and theatre, held in any place, both public and private. The interruption also  applies to museums, archaeological sites, and monuments. So, to notice the negative turnout trend,  we can focus the analysis on a particular type of entertainment activity. Let’s consider, for instance,  the museum. </w:t>
      </w:r>
    </w:p>
    <w:p w14:paraId="46F182B4" w14:textId="43AFAE99" w:rsidR="00D80229" w:rsidRDefault="00D80229" w:rsidP="007E1D8C">
      <w:pPr>
        <w:widowControl w:val="0"/>
        <w:pBdr>
          <w:top w:val="nil"/>
          <w:left w:val="nil"/>
          <w:bottom w:val="nil"/>
          <w:right w:val="nil"/>
          <w:between w:val="nil"/>
        </w:pBdr>
        <w:spacing w:line="229" w:lineRule="auto"/>
        <w:ind w:right="27"/>
        <w:jc w:val="both"/>
        <w:rPr>
          <w:rFonts w:ascii="Times New Roman" w:eastAsia="Times New Roman" w:hAnsi="Times New Roman" w:cs="Times New Roman"/>
          <w:color w:val="000000"/>
          <w:lang w:val="en-GB"/>
        </w:rPr>
      </w:pPr>
      <w:r>
        <w:rPr>
          <w:noProof/>
        </w:rPr>
        <w:drawing>
          <wp:inline distT="0" distB="0" distL="0" distR="0" wp14:anchorId="31673041" wp14:editId="241C5AA1">
            <wp:extent cx="4432935" cy="2583815"/>
            <wp:effectExtent l="0" t="0" r="5715" b="6985"/>
            <wp:docPr id="1" name="image1.png" descr="Immagine che contiene testo, schermata, diagramma, Diagramma&#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1" name="image1.png" descr="Immagine che contiene testo, schermata, diagramma, Diagramma&#10;&#10;Il contenuto generato dall'IA potrebbe non essere corretto."/>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4432935" cy="2583815"/>
                    </a:xfrm>
                    <a:prstGeom prst="rect">
                      <a:avLst/>
                    </a:prstGeom>
                    <a:ln/>
                  </pic:spPr>
                </pic:pic>
              </a:graphicData>
            </a:graphic>
          </wp:inline>
        </w:drawing>
      </w:r>
    </w:p>
    <w:p w14:paraId="66A44365" w14:textId="30362771" w:rsidR="000F234E" w:rsidRPr="00EC4050" w:rsidRDefault="00000000" w:rsidP="00D80229">
      <w:pPr>
        <w:widowControl w:val="0"/>
        <w:pBdr>
          <w:top w:val="nil"/>
          <w:left w:val="nil"/>
          <w:bottom w:val="nil"/>
          <w:right w:val="nil"/>
          <w:between w:val="nil"/>
        </w:pBdr>
        <w:spacing w:line="229" w:lineRule="auto"/>
        <w:ind w:right="27"/>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The graph on the right shows how  museum attendance varies  between 2019 and 2020. It  highlights the reduction in  the proportion of museum  visitors for each</w:t>
      </w:r>
      <w:r w:rsidR="007E1D8C">
        <w:rPr>
          <w:rFonts w:ascii="Times New Roman" w:eastAsia="Times New Roman" w:hAnsi="Times New Roman" w:cs="Times New Roman"/>
          <w:color w:val="000000"/>
          <w:lang w:val="en-GB"/>
        </w:rPr>
        <w:t xml:space="preserve"> </w:t>
      </w:r>
      <w:r w:rsidRPr="00EC4050">
        <w:rPr>
          <w:rFonts w:ascii="Times New Roman" w:eastAsia="Times New Roman" w:hAnsi="Times New Roman" w:cs="Times New Roman"/>
          <w:color w:val="000000"/>
          <w:lang w:val="en-GB"/>
        </w:rPr>
        <w:t>participation frequency in a year. People who went to the museum between 1 and</w:t>
      </w:r>
      <w:r w:rsidR="007E1D8C">
        <w:rPr>
          <w:rFonts w:ascii="Times New Roman" w:eastAsia="Times New Roman" w:hAnsi="Times New Roman" w:cs="Times New Roman"/>
          <w:color w:val="000000"/>
          <w:lang w:val="en-GB"/>
        </w:rPr>
        <w:t xml:space="preserve"> </w:t>
      </w:r>
      <w:r w:rsidRPr="00EC4050">
        <w:rPr>
          <w:rFonts w:ascii="Times New Roman" w:eastAsia="Times New Roman" w:hAnsi="Times New Roman" w:cs="Times New Roman"/>
          <w:color w:val="000000"/>
          <w:lang w:val="en-GB"/>
        </w:rPr>
        <w:t>3 times in 2019 represent 24.20 % of the considered population, while in 2020,  they are 22.00%. As</w:t>
      </w:r>
      <w:r w:rsidR="007E1D8C">
        <w:rPr>
          <w:rFonts w:ascii="Times New Roman" w:eastAsia="Times New Roman" w:hAnsi="Times New Roman" w:cs="Times New Roman"/>
          <w:color w:val="000000"/>
          <w:lang w:val="en-GB"/>
        </w:rPr>
        <w:t xml:space="preserve"> </w:t>
      </w:r>
      <w:r w:rsidR="00D80229">
        <w:rPr>
          <w:rFonts w:ascii="Times New Roman" w:eastAsia="Times New Roman" w:hAnsi="Times New Roman" w:cs="Times New Roman"/>
          <w:color w:val="000000"/>
          <w:lang w:val="en-GB"/>
        </w:rPr>
        <w:t>r</w:t>
      </w:r>
      <w:r w:rsidRPr="00EC4050">
        <w:rPr>
          <w:rFonts w:ascii="Times New Roman" w:eastAsia="Times New Roman" w:hAnsi="Times New Roman" w:cs="Times New Roman"/>
          <w:color w:val="000000"/>
          <w:lang w:val="en-GB"/>
        </w:rPr>
        <w:t xml:space="preserve">egards the percentage of people who attend the museum between four and six times a year, in 2019, it is 5.10, while in 2020, it is 4.42. The </w:t>
      </w:r>
      <w:r w:rsidR="007E1D8C" w:rsidRPr="00EC4050">
        <w:rPr>
          <w:rFonts w:ascii="Times New Roman" w:eastAsia="Times New Roman" w:hAnsi="Times New Roman" w:cs="Times New Roman"/>
          <w:color w:val="000000"/>
          <w:lang w:val="en-GB"/>
        </w:rPr>
        <w:t>same happens</w:t>
      </w:r>
      <w:r w:rsidRPr="00EC4050">
        <w:rPr>
          <w:rFonts w:ascii="Times New Roman" w:eastAsia="Times New Roman" w:hAnsi="Times New Roman" w:cs="Times New Roman"/>
          <w:color w:val="000000"/>
          <w:lang w:val="en-GB"/>
        </w:rPr>
        <w:t xml:space="preserve"> to other </w:t>
      </w:r>
      <w:r w:rsidRPr="00EC4050">
        <w:rPr>
          <w:rFonts w:ascii="Times New Roman" w:eastAsia="Times New Roman" w:hAnsi="Times New Roman" w:cs="Times New Roman"/>
          <w:color w:val="000000"/>
          <w:lang w:val="en-GB"/>
        </w:rPr>
        <w:lastRenderedPageBreak/>
        <w:t xml:space="preserve">participation frequencies, except for “never”. As might be excepted, the </w:t>
      </w:r>
      <w:r w:rsidR="007E1D8C" w:rsidRPr="00EC4050">
        <w:rPr>
          <w:rFonts w:ascii="Times New Roman" w:eastAsia="Times New Roman" w:hAnsi="Times New Roman" w:cs="Times New Roman"/>
          <w:color w:val="000000"/>
          <w:lang w:val="en-GB"/>
        </w:rPr>
        <w:t>percentage of</w:t>
      </w:r>
      <w:r w:rsidRPr="00EC4050">
        <w:rPr>
          <w:rFonts w:ascii="Times New Roman" w:eastAsia="Times New Roman" w:hAnsi="Times New Roman" w:cs="Times New Roman"/>
          <w:color w:val="000000"/>
          <w:lang w:val="en-GB"/>
        </w:rPr>
        <w:t xml:space="preserve"> people who never go to the museum increased from 68% in 2019 to 72% in 2020.  </w:t>
      </w:r>
    </w:p>
    <w:p w14:paraId="7825B76A" w14:textId="7C74A20A" w:rsidR="000F234E" w:rsidRPr="00EC4050" w:rsidRDefault="00000000" w:rsidP="00D80229">
      <w:pPr>
        <w:widowControl w:val="0"/>
        <w:pBdr>
          <w:top w:val="nil"/>
          <w:left w:val="nil"/>
          <w:bottom w:val="nil"/>
          <w:right w:val="nil"/>
          <w:between w:val="nil"/>
        </w:pBdr>
        <w:spacing w:before="261" w:line="229" w:lineRule="auto"/>
        <w:ind w:right="125"/>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As seen before, attendance at cultural services varies according to the period considered. However,  it is also affected by the geographical area. The graphs below show the theatre participation by  geographical area in 2019 and 2020. They illustrate that habit of going to the theatre at least once a  year in 2019 is more widespread among residents in the centre and the</w:t>
      </w:r>
      <w:r w:rsidRPr="00EC4050">
        <w:rPr>
          <w:rFonts w:ascii="Times New Roman" w:eastAsia="Times New Roman" w:hAnsi="Times New Roman" w:cs="Times New Roman"/>
          <w:color w:val="000000"/>
          <w:shd w:val="clear" w:color="auto" w:fill="E2EFD9"/>
          <w:lang w:val="en-GB"/>
        </w:rPr>
        <w:t xml:space="preserve"> </w:t>
      </w:r>
      <w:r w:rsidRPr="00EC4050">
        <w:rPr>
          <w:rFonts w:ascii="Times New Roman" w:eastAsia="Times New Roman" w:hAnsi="Times New Roman" w:cs="Times New Roman"/>
          <w:color w:val="000000"/>
          <w:lang w:val="en-GB"/>
        </w:rPr>
        <w:t xml:space="preserve">north. In particular, the  people who go to the theatre twelve or more times a year in 2019 are mainly from the northeast, as showed by the graph A. Otherwise, in 2020 inhabitants of the northwest and islands prevails among  the most active frequenters. The highest level of abstinence occurs among southerners in both years. </w:t>
      </w:r>
    </w:p>
    <w:p w14:paraId="59FA655A" w14:textId="77777777" w:rsidR="000F234E" w:rsidRDefault="00000000" w:rsidP="00EC4050">
      <w:pPr>
        <w:widowControl w:val="0"/>
        <w:pBdr>
          <w:top w:val="nil"/>
          <w:left w:val="nil"/>
          <w:bottom w:val="nil"/>
          <w:right w:val="nil"/>
          <w:between w:val="nil"/>
        </w:pBdr>
        <w:spacing w:before="278"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7673C9A7" wp14:editId="530C15D6">
            <wp:extent cx="4924933" cy="298069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4924933" cy="2980690"/>
                    </a:xfrm>
                    <a:prstGeom prst="rect">
                      <a:avLst/>
                    </a:prstGeom>
                    <a:ln/>
                  </pic:spPr>
                </pic:pic>
              </a:graphicData>
            </a:graphic>
          </wp:inline>
        </w:drawing>
      </w:r>
    </w:p>
    <w:p w14:paraId="760F13AB" w14:textId="77777777" w:rsidR="000F234E" w:rsidRPr="00EC4050" w:rsidRDefault="00000000" w:rsidP="00EC4050">
      <w:pPr>
        <w:widowControl w:val="0"/>
        <w:pBdr>
          <w:top w:val="nil"/>
          <w:left w:val="nil"/>
          <w:bottom w:val="nil"/>
          <w:right w:val="nil"/>
          <w:between w:val="nil"/>
        </w:pBdr>
        <w:spacing w:line="229" w:lineRule="auto"/>
        <w:ind w:left="167" w:right="152" w:firstLine="2"/>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Can be conducted the same analysis on the turnout at the cinema: comparing the purple graphs A  and B, it is clear that the affluence has remained mainly unchanged between geographical districts  and the two years. In 2019, those who attend the cinema more are people of the centre, while those  who attend it less are the ones from the South. In 2020, instead, residents of the northwest and  northeast mostly go to the cinema, while inhabitants of the south remain those who go less to the  cinema. </w:t>
      </w:r>
    </w:p>
    <w:p w14:paraId="3B728F7E" w14:textId="77777777" w:rsidR="000F234E" w:rsidRDefault="00000000" w:rsidP="00EC4050">
      <w:pPr>
        <w:widowControl w:val="0"/>
        <w:pBdr>
          <w:top w:val="nil"/>
          <w:left w:val="nil"/>
          <w:bottom w:val="nil"/>
          <w:right w:val="nil"/>
          <w:between w:val="nil"/>
        </w:pBdr>
        <w:spacing w:before="271"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11AE8A7D" wp14:editId="7003856B">
            <wp:extent cx="4961890" cy="300164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961890" cy="3001645"/>
                    </a:xfrm>
                    <a:prstGeom prst="rect">
                      <a:avLst/>
                    </a:prstGeom>
                    <a:ln/>
                  </pic:spPr>
                </pic:pic>
              </a:graphicData>
            </a:graphic>
          </wp:inline>
        </w:drawing>
      </w:r>
    </w:p>
    <w:p w14:paraId="34F79EBB" w14:textId="77777777" w:rsidR="000F234E" w:rsidRPr="00EC4050" w:rsidRDefault="00000000" w:rsidP="00EC4050">
      <w:pPr>
        <w:widowControl w:val="0"/>
        <w:pBdr>
          <w:top w:val="nil"/>
          <w:left w:val="nil"/>
          <w:bottom w:val="nil"/>
          <w:right w:val="nil"/>
          <w:between w:val="nil"/>
        </w:pBdr>
        <w:spacing w:line="228" w:lineRule="auto"/>
        <w:ind w:left="167" w:right="64"/>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lastRenderedPageBreak/>
        <w:t xml:space="preserve">It is also interesting to observe the distribution of museum visits among geographical areas between  2019 and 2020. Even in that case, the situation is mostly unchanged in the considered period. There  is only a slight variation noticeable through blue graphs: museum visits from inhabitants of the  northwest among the most frequent museum visitors increase. It implies that the inhabitants of the  northwest visit museums more than twelve times a year in both periods. On the other hand, </w:t>
      </w:r>
    </w:p>
    <w:p w14:paraId="1A912A20" w14:textId="77777777" w:rsidR="000F234E" w:rsidRPr="00EC4050" w:rsidRDefault="00000000" w:rsidP="00EC4050">
      <w:pPr>
        <w:widowControl w:val="0"/>
        <w:pBdr>
          <w:top w:val="nil"/>
          <w:left w:val="nil"/>
          <w:bottom w:val="nil"/>
          <w:right w:val="nil"/>
          <w:between w:val="nil"/>
        </w:pBdr>
        <w:spacing w:line="228" w:lineRule="auto"/>
        <w:ind w:left="166" w:right="222"/>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individuals that go less to museums are southerners once again. In addition, it is apparent that the  tendency to attend museums at least once a year is more widespread in the centre-north, including  the northwest, northeast, and centre, compared to the south. </w:t>
      </w:r>
    </w:p>
    <w:p w14:paraId="4E09DE52" w14:textId="77777777" w:rsidR="000F234E" w:rsidRDefault="00000000" w:rsidP="00EC4050">
      <w:pPr>
        <w:widowControl w:val="0"/>
        <w:pBdr>
          <w:top w:val="nil"/>
          <w:left w:val="nil"/>
          <w:bottom w:val="nil"/>
          <w:right w:val="nil"/>
          <w:between w:val="nil"/>
        </w:pBdr>
        <w:spacing w:before="275"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522259EC" wp14:editId="0AE09CE9">
            <wp:extent cx="4834890" cy="292722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834890" cy="2927223"/>
                    </a:xfrm>
                    <a:prstGeom prst="rect">
                      <a:avLst/>
                    </a:prstGeom>
                    <a:ln/>
                  </pic:spPr>
                </pic:pic>
              </a:graphicData>
            </a:graphic>
          </wp:inline>
        </w:drawing>
      </w:r>
    </w:p>
    <w:p w14:paraId="6BA2E1AD" w14:textId="77777777" w:rsidR="000F234E" w:rsidRPr="00EC4050" w:rsidRDefault="00000000" w:rsidP="00EC4050">
      <w:pPr>
        <w:widowControl w:val="0"/>
        <w:pBdr>
          <w:top w:val="nil"/>
          <w:left w:val="nil"/>
          <w:bottom w:val="nil"/>
          <w:right w:val="nil"/>
          <w:between w:val="nil"/>
        </w:pBdr>
        <w:spacing w:line="228" w:lineRule="auto"/>
        <w:ind w:left="165" w:right="180" w:firstLine="1"/>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As regards classical music concerts, a particular situation verifies. In 2019 and 2020, people who  have attended at least twelve times in the 12 months before classical concerts reside in the centre north. However, the difference in participation, between the centre-Nord and the regions of the  south, including the islands, is visibly reduced over the period considered. This is even more  evident considering those who attend classical music concerts between seven and twelve times a  year: while in 2019, most of the people who attended classical music concerts with this frequency  were from the centre-nord, in particular from the northwest, in 2020 the number of residents in the  centre-nord, attending the theatre, substantially declined. This trend may be due to the spread of  coronavirus: this disease has probably mainly affected the north. </w:t>
      </w:r>
    </w:p>
    <w:p w14:paraId="62B8ADA5" w14:textId="77777777" w:rsidR="000F234E" w:rsidRDefault="00000000" w:rsidP="00EC4050">
      <w:pPr>
        <w:widowControl w:val="0"/>
        <w:pBdr>
          <w:top w:val="nil"/>
          <w:left w:val="nil"/>
          <w:bottom w:val="nil"/>
          <w:right w:val="nil"/>
          <w:between w:val="nil"/>
        </w:pBdr>
        <w:spacing w:before="273"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65F058E1" wp14:editId="508E9F75">
            <wp:extent cx="4873625" cy="295084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873625" cy="2950845"/>
                    </a:xfrm>
                    <a:prstGeom prst="rect">
                      <a:avLst/>
                    </a:prstGeom>
                    <a:ln/>
                  </pic:spPr>
                </pic:pic>
              </a:graphicData>
            </a:graphic>
          </wp:inline>
        </w:drawing>
      </w:r>
    </w:p>
    <w:p w14:paraId="61EA8043" w14:textId="77777777" w:rsidR="000F234E" w:rsidRPr="00EC4050" w:rsidRDefault="00000000" w:rsidP="00EC4050">
      <w:pPr>
        <w:widowControl w:val="0"/>
        <w:pBdr>
          <w:top w:val="nil"/>
          <w:left w:val="nil"/>
          <w:bottom w:val="nil"/>
          <w:right w:val="nil"/>
          <w:between w:val="nil"/>
        </w:pBdr>
        <w:spacing w:line="230" w:lineRule="auto"/>
        <w:ind w:left="166" w:right="147"/>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lastRenderedPageBreak/>
        <w:t xml:space="preserve">As for concerts other than classical music, residents of centre-north show a slightly higher aptitude  to attend concerts than those in the south in general terms. More in detail, the people who went to </w:t>
      </w:r>
    </w:p>
    <w:p w14:paraId="7C4764B3" w14:textId="77777777" w:rsidR="000F234E" w:rsidRPr="00EC4050" w:rsidRDefault="00000000" w:rsidP="00EC4050">
      <w:pPr>
        <w:widowControl w:val="0"/>
        <w:pBdr>
          <w:top w:val="nil"/>
          <w:left w:val="nil"/>
          <w:bottom w:val="nil"/>
          <w:right w:val="nil"/>
          <w:between w:val="nil"/>
        </w:pBdr>
        <w:spacing w:line="229" w:lineRule="auto"/>
        <w:ind w:left="164" w:right="72" w:firstLine="1"/>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the concerts at least twelve times a year between 2019 and 2020 are from the south and the  northeast. However, while in 2019, people who participated more in music concerts are mainly  southerners, in 2020, they are mainly inhabitants of the northeast. It is clear a slight reduction in the  proportion of southerners and a slight increase in northeast inhabitants attending concerts more  often in the considered timeframe.  </w:t>
      </w:r>
    </w:p>
    <w:p w14:paraId="59EF297A" w14:textId="77777777" w:rsidR="000F234E" w:rsidRPr="00EC4050" w:rsidRDefault="00000000" w:rsidP="00EC4050">
      <w:pPr>
        <w:widowControl w:val="0"/>
        <w:pBdr>
          <w:top w:val="nil"/>
          <w:left w:val="nil"/>
          <w:bottom w:val="nil"/>
          <w:right w:val="nil"/>
          <w:between w:val="nil"/>
        </w:pBdr>
        <w:spacing w:before="1" w:line="240" w:lineRule="auto"/>
        <w:ind w:left="163"/>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  </w:t>
      </w:r>
    </w:p>
    <w:p w14:paraId="4717104D" w14:textId="77777777" w:rsidR="000F234E" w:rsidRDefault="00000000" w:rsidP="00EC4050">
      <w:pPr>
        <w:widowControl w:val="0"/>
        <w:pBdr>
          <w:top w:val="nil"/>
          <w:left w:val="nil"/>
          <w:bottom w:val="nil"/>
          <w:right w:val="nil"/>
          <w:between w:val="nil"/>
        </w:pBdr>
        <w:spacing w:before="11"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0A881EAE" wp14:editId="230D9E27">
            <wp:extent cx="4658995" cy="282067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658995" cy="2820670"/>
                    </a:xfrm>
                    <a:prstGeom prst="rect">
                      <a:avLst/>
                    </a:prstGeom>
                    <a:ln/>
                  </pic:spPr>
                </pic:pic>
              </a:graphicData>
            </a:graphic>
          </wp:inline>
        </w:drawing>
      </w:r>
    </w:p>
    <w:p w14:paraId="5AD931CA" w14:textId="77777777" w:rsidR="000F234E" w:rsidRPr="00EC4050" w:rsidRDefault="00000000" w:rsidP="00EC4050">
      <w:pPr>
        <w:widowControl w:val="0"/>
        <w:pBdr>
          <w:top w:val="nil"/>
          <w:left w:val="nil"/>
          <w:bottom w:val="nil"/>
          <w:right w:val="nil"/>
          <w:between w:val="nil"/>
        </w:pBdr>
        <w:spacing w:line="229" w:lineRule="auto"/>
        <w:ind w:left="164" w:right="123" w:firstLine="1"/>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Focusing on monuments and archaeological sites at the territorial level, it is clear that residents of  the centre-north have a greater propensity to visit these places than southerners. In particular, the  highest levels of abstinence of archaeological sites are recorded in the south, while the inhabitants  of the northwest stand out among those who visit these places at least once a year in the considered  time frame. A fairly pronounced variation in the distribution of visits to monuments between  geographical areas and between 2019 and 2020 concerns those with a frequency of participation between seven and twelve times a year. In fact, the interest of the northeast inhabitants increases  quite substantially. </w:t>
      </w:r>
    </w:p>
    <w:p w14:paraId="5957E7BA" w14:textId="77777777" w:rsidR="000F234E" w:rsidRDefault="00000000" w:rsidP="00EC4050">
      <w:pPr>
        <w:widowControl w:val="0"/>
        <w:pBdr>
          <w:top w:val="nil"/>
          <w:left w:val="nil"/>
          <w:bottom w:val="nil"/>
          <w:right w:val="nil"/>
          <w:between w:val="nil"/>
        </w:pBdr>
        <w:spacing w:before="271"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5C7906B2" wp14:editId="2A02D446">
            <wp:extent cx="4821555" cy="291909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821555" cy="2919095"/>
                    </a:xfrm>
                    <a:prstGeom prst="rect">
                      <a:avLst/>
                    </a:prstGeom>
                    <a:ln/>
                  </pic:spPr>
                </pic:pic>
              </a:graphicData>
            </a:graphic>
          </wp:inline>
        </w:drawing>
      </w:r>
    </w:p>
    <w:p w14:paraId="1C61A024" w14:textId="77777777" w:rsidR="000F234E" w:rsidRPr="00EC4050" w:rsidRDefault="00000000" w:rsidP="00EC4050">
      <w:pPr>
        <w:widowControl w:val="0"/>
        <w:pBdr>
          <w:top w:val="nil"/>
          <w:left w:val="nil"/>
          <w:bottom w:val="nil"/>
          <w:right w:val="nil"/>
          <w:between w:val="nil"/>
        </w:pBdr>
        <w:spacing w:line="225" w:lineRule="auto"/>
        <w:ind w:left="169" w:right="124" w:hanging="2"/>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Until now, we have seen that in most cases, the inhabitants of the north tend to frequent  entertainment activities outside the home more often than the inhabitants of the south. This trend is </w:t>
      </w:r>
    </w:p>
    <w:p w14:paraId="68494930" w14:textId="77777777" w:rsidR="000F234E" w:rsidRPr="00EC4050" w:rsidRDefault="00000000" w:rsidP="00EC4050">
      <w:pPr>
        <w:widowControl w:val="0"/>
        <w:pBdr>
          <w:top w:val="nil"/>
          <w:left w:val="nil"/>
          <w:bottom w:val="nil"/>
          <w:right w:val="nil"/>
          <w:between w:val="nil"/>
        </w:pBdr>
        <w:spacing w:line="229" w:lineRule="auto"/>
        <w:ind w:left="167" w:right="127" w:firstLine="1"/>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lastRenderedPageBreak/>
        <w:t xml:space="preserve">confirmed by Istat 2019 and 2020 reports which also state that there is greater participation in  cultural services in metropolitan areas while it is residual in small municipalities. This further  supports the results obtained as metropolitan areas are concentrated in the north, while small towns  characterise most of the south. This result may also be due to the different distribution of the offer  of entertainment activities outside the home on a territorial level. For example, as reported by Istat  in the report published last year and related to the year 2020, most museums, archaeological sites,  monuments, and monumental complexes are located in the regions of the north (46.2%), and only  28.9% and the 24.9% are located respectively in the centre and the south. </w:t>
      </w:r>
    </w:p>
    <w:p w14:paraId="5E89948C" w14:textId="77777777" w:rsidR="000F234E" w:rsidRPr="00EC4050" w:rsidRDefault="00000000" w:rsidP="00EC4050">
      <w:pPr>
        <w:widowControl w:val="0"/>
        <w:pBdr>
          <w:top w:val="nil"/>
          <w:left w:val="nil"/>
          <w:bottom w:val="nil"/>
          <w:right w:val="nil"/>
          <w:between w:val="nil"/>
        </w:pBdr>
        <w:spacing w:before="256" w:line="229" w:lineRule="auto"/>
        <w:ind w:left="164" w:right="-4" w:firstLine="3"/>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The tendency to attend out-of-home entertainment varies not only by geographical area, but also by  age, gender, and education. For instance, we can consider the cinema, as it has the lowest  abstinence level, and see how these factors affect the frequency with which individuals attend it.  Let’s consider first the relation between the frequency, age, and gender among those who go to the  cinema with an average frequency, and so, between four and six times a year in 2019 and 2020. The  graph below shows that in 2019 especially young people up to 24 years old visited the cinema; more  in detail, children between the ages of 20 and 24 and children between 6 and 10 go to the cinema  more frequently. On the contrary, people between 65 and 70 and especially over 75 years of age  benefit less from this type of cultural service as they use it less. Therefore, the tendency to go to the  cinema comes down to increasing age. As for gender, the trend of going to the cinema, in 2019, is  almost equally distributed between men and women. Among young people up to 24, girls go to the  cinema slightly more than their peers: especially among young people between 15 and 17 years old,  where the difference between the frequency of women and men is more marked. Women also  prevail among men between 54 and 60 years of age. In the remaining age groups, men attend  cinema slightly more than women. </w:t>
      </w:r>
    </w:p>
    <w:p w14:paraId="5F149E17" w14:textId="77777777" w:rsidR="000F234E" w:rsidRDefault="00000000" w:rsidP="00EC4050">
      <w:pPr>
        <w:widowControl w:val="0"/>
        <w:pBdr>
          <w:top w:val="nil"/>
          <w:left w:val="nil"/>
          <w:bottom w:val="nil"/>
          <w:right w:val="nil"/>
          <w:between w:val="nil"/>
        </w:pBdr>
        <w:spacing w:before="271"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499653B3" wp14:editId="2715E4CD">
            <wp:extent cx="5056505" cy="306133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056505" cy="3061335"/>
                    </a:xfrm>
                    <a:prstGeom prst="rect">
                      <a:avLst/>
                    </a:prstGeom>
                    <a:ln/>
                  </pic:spPr>
                </pic:pic>
              </a:graphicData>
            </a:graphic>
          </wp:inline>
        </w:drawing>
      </w:r>
    </w:p>
    <w:p w14:paraId="3501D364" w14:textId="77777777" w:rsidR="000F234E" w:rsidRPr="00EC4050" w:rsidRDefault="00000000" w:rsidP="00EC4050">
      <w:pPr>
        <w:widowControl w:val="0"/>
        <w:pBdr>
          <w:top w:val="nil"/>
          <w:left w:val="nil"/>
          <w:bottom w:val="nil"/>
          <w:right w:val="nil"/>
          <w:between w:val="nil"/>
        </w:pBdr>
        <w:spacing w:line="229" w:lineRule="auto"/>
        <w:ind w:left="164" w:right="14" w:firstLine="3"/>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By conducting the same analysis in 2020, similar results are achieved: as shown by the graph  below, the habit of going to the cinema between four and six times and therefore with an average  frequency, in 2020, is more widespread among young people. Those who attend this place the most  are young people between 20 and 24 years and children between six and ten years. They follow in  descending order of frequency the men between 65 and 74 years and the elderly over 75 years. So,  even in this case, the tendency to go to the cinema is reduced with increasing age. As for gender, the  number of women who attend the cinema differs slightly from that of men in most cases. Among  the young up to 24 years, there are more female frequenters, especially in the range from 16 to 17  years. The number of female frequenters is slightly higher also in the 45-54, 55-59, and 65-74 age  groups. On the other hand, men prevail between 18 and 19 years and between 25 and 34.</w:t>
      </w:r>
    </w:p>
    <w:p w14:paraId="2217608C" w14:textId="77777777" w:rsidR="000F234E" w:rsidRDefault="00000000" w:rsidP="00EC4050">
      <w:pPr>
        <w:widowControl w:val="0"/>
        <w:pBdr>
          <w:top w:val="nil"/>
          <w:left w:val="nil"/>
          <w:bottom w:val="nil"/>
          <w:right w:val="nil"/>
          <w:between w:val="nil"/>
        </w:pBdr>
        <w:spacing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19050" distB="19050" distL="19050" distR="19050" wp14:anchorId="0DF76019" wp14:editId="662E4777">
            <wp:extent cx="5063490" cy="306552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063490" cy="3065526"/>
                    </a:xfrm>
                    <a:prstGeom prst="rect">
                      <a:avLst/>
                    </a:prstGeom>
                    <a:ln/>
                  </pic:spPr>
                </pic:pic>
              </a:graphicData>
            </a:graphic>
          </wp:inline>
        </w:drawing>
      </w:r>
    </w:p>
    <w:p w14:paraId="75DF9DB1" w14:textId="77777777" w:rsidR="000F234E" w:rsidRPr="00EC4050" w:rsidRDefault="00000000" w:rsidP="00EC4050">
      <w:pPr>
        <w:widowControl w:val="0"/>
        <w:pBdr>
          <w:top w:val="nil"/>
          <w:left w:val="nil"/>
          <w:bottom w:val="nil"/>
          <w:right w:val="nil"/>
          <w:between w:val="nil"/>
        </w:pBdr>
        <w:spacing w:line="229" w:lineRule="auto"/>
        <w:ind w:left="166" w:right="27"/>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Let us now examine the relationship between the type of cultural service and the level of education  of those who use it. Let’s take cinema, for example, because it is the type of entertainment  characterised by the lowest level of abstinence. The chart below shows cinema participation relative  to the educational level in 2019 among those who go to the cinema between 7 and 12 times a year.  People who visit the cinema with this attendance have mostly a high school diploma, it is less the  number of people with a degree or doctorate; even fewer is the number of students with a diploma  in Middle School. Overall, it seems that the tendency to attend the cinema increases with the level  of education up to the high school diploma, and then this trend is reversed. The trend reversal may  occur because not everyone continues their studies after graduating from high school. This further  supports previous results, according to which young people up to 24 years go to the cinema more  often than older people. </w:t>
      </w:r>
    </w:p>
    <w:p w14:paraId="1EB19068" w14:textId="77777777" w:rsidR="000F234E" w:rsidRDefault="00000000" w:rsidP="00EC4050">
      <w:pPr>
        <w:widowControl w:val="0"/>
        <w:pBdr>
          <w:top w:val="nil"/>
          <w:left w:val="nil"/>
          <w:bottom w:val="nil"/>
          <w:right w:val="nil"/>
          <w:between w:val="nil"/>
        </w:pBdr>
        <w:spacing w:before="270"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18789CC4" wp14:editId="6622BA55">
            <wp:extent cx="4890135" cy="2894711"/>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890135" cy="2894711"/>
                    </a:xfrm>
                    <a:prstGeom prst="rect">
                      <a:avLst/>
                    </a:prstGeom>
                    <a:ln/>
                  </pic:spPr>
                </pic:pic>
              </a:graphicData>
            </a:graphic>
          </wp:inline>
        </w:drawing>
      </w:r>
    </w:p>
    <w:p w14:paraId="1CFD9810" w14:textId="77777777" w:rsidR="000F234E" w:rsidRPr="00EC4050" w:rsidRDefault="00000000" w:rsidP="00EC4050">
      <w:pPr>
        <w:widowControl w:val="0"/>
        <w:pBdr>
          <w:top w:val="nil"/>
          <w:left w:val="nil"/>
          <w:bottom w:val="nil"/>
          <w:right w:val="nil"/>
          <w:between w:val="nil"/>
        </w:pBdr>
        <w:spacing w:line="229" w:lineRule="auto"/>
        <w:ind w:left="167" w:right="76"/>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The situation is similar in 2020, where the tendency to attend the cinema still increases with the  level of education up to the high school diploma and then decreases slightly for higher education  levels. In that case, contrary to 2019, the number of people with a degree or doctorate who visit the  cinema, with attendance slightly higher than the average, is moderately higher than the one of those </w:t>
      </w:r>
    </w:p>
    <w:p w14:paraId="47BF4CB8" w14:textId="77777777" w:rsidR="000F234E" w:rsidRPr="00EC4050" w:rsidRDefault="00000000" w:rsidP="00EC4050">
      <w:pPr>
        <w:widowControl w:val="0"/>
        <w:pBdr>
          <w:top w:val="nil"/>
          <w:left w:val="nil"/>
          <w:bottom w:val="nil"/>
          <w:right w:val="nil"/>
          <w:between w:val="nil"/>
        </w:pBdr>
        <w:spacing w:line="228" w:lineRule="auto"/>
        <w:ind w:left="164" w:right="84" w:firstLine="3"/>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with a high school license. In 2019, the difference between the two numbers was more accentuated.  In addition, the nuances of the 2020 graph are lighter, indicating a reduction in the number of  cinema-</w:t>
      </w:r>
      <w:r w:rsidRPr="00EC4050">
        <w:rPr>
          <w:rFonts w:ascii="Times New Roman" w:eastAsia="Times New Roman" w:hAnsi="Times New Roman" w:cs="Times New Roman"/>
          <w:color w:val="000000"/>
          <w:lang w:val="en-GB"/>
        </w:rPr>
        <w:lastRenderedPageBreak/>
        <w:t xml:space="preserve">goers between 7 and 12 times a year. This variation is also noticeable through the numbers  corresponding to each level of study, which is lower than the ones of 2019. The decrease is  probably due to the emergency measures that the government introduced in 2020 to counter the  spread of covid-19. Therefore, the greater transparency of nuances in 2020 compared to 2019 is  probably also found in other types of entertainment outside the home. </w:t>
      </w:r>
    </w:p>
    <w:p w14:paraId="10EEFD72" w14:textId="77777777" w:rsidR="000F234E" w:rsidRDefault="00000000" w:rsidP="00EC4050">
      <w:pPr>
        <w:widowControl w:val="0"/>
        <w:pBdr>
          <w:top w:val="nil"/>
          <w:left w:val="nil"/>
          <w:bottom w:val="nil"/>
          <w:right w:val="nil"/>
          <w:between w:val="nil"/>
        </w:pBdr>
        <w:spacing w:before="272"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5D533262" wp14:editId="5BC0BBD5">
            <wp:extent cx="4975606" cy="294576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975606" cy="2945765"/>
                    </a:xfrm>
                    <a:prstGeom prst="rect">
                      <a:avLst/>
                    </a:prstGeom>
                    <a:ln/>
                  </pic:spPr>
                </pic:pic>
              </a:graphicData>
            </a:graphic>
          </wp:inline>
        </w:drawing>
      </w:r>
    </w:p>
    <w:p w14:paraId="3B7DC6A5" w14:textId="77777777" w:rsidR="000F234E" w:rsidRPr="00EC4050" w:rsidRDefault="00000000" w:rsidP="00EC4050">
      <w:pPr>
        <w:widowControl w:val="0"/>
        <w:pBdr>
          <w:top w:val="nil"/>
          <w:left w:val="nil"/>
          <w:bottom w:val="nil"/>
          <w:right w:val="nil"/>
          <w:between w:val="nil"/>
        </w:pBdr>
        <w:spacing w:line="228" w:lineRule="auto"/>
        <w:ind w:left="166" w:right="119"/>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The same reasoning can also be applied to the museum. Observing how many people go to the  museum between seven and twelve times a year depending on the level of education, it is clear that  the number of people attending museums still tends to increase with the level of education. This  trend is confirmed in 2019 and 2020, as shown by the blue charts below.  </w:t>
      </w:r>
    </w:p>
    <w:p w14:paraId="633A85AD" w14:textId="77777777" w:rsidR="000F234E" w:rsidRPr="00EC4050" w:rsidRDefault="00000000" w:rsidP="00EC4050">
      <w:pPr>
        <w:widowControl w:val="0"/>
        <w:pBdr>
          <w:top w:val="nil"/>
          <w:left w:val="nil"/>
          <w:bottom w:val="nil"/>
          <w:right w:val="nil"/>
          <w:between w:val="nil"/>
        </w:pBdr>
        <w:spacing w:before="7" w:line="228" w:lineRule="auto"/>
        <w:ind w:left="167" w:right="90" w:hanging="2"/>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In particular, in 2019, the people attending the museum between seven and twelve times are mainly  graduates and doctorates; no more people with a high school diploma which corresponds to a  smaller number of visitors.</w:t>
      </w:r>
    </w:p>
    <w:p w14:paraId="5727209A" w14:textId="77777777" w:rsidR="000F234E" w:rsidRDefault="00000000" w:rsidP="00EC4050">
      <w:pPr>
        <w:widowControl w:val="0"/>
        <w:pBdr>
          <w:top w:val="nil"/>
          <w:left w:val="nil"/>
          <w:bottom w:val="nil"/>
          <w:right w:val="nil"/>
          <w:between w:val="nil"/>
        </w:pBdr>
        <w:spacing w:before="272"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19050" distB="19050" distL="19050" distR="19050" wp14:anchorId="0BF2B93E" wp14:editId="79B93159">
            <wp:extent cx="5022215" cy="30408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022215" cy="3040888"/>
                    </a:xfrm>
                    <a:prstGeom prst="rect">
                      <a:avLst/>
                    </a:prstGeom>
                    <a:ln/>
                  </pic:spPr>
                </pic:pic>
              </a:graphicData>
            </a:graphic>
          </wp:inline>
        </w:drawing>
      </w:r>
    </w:p>
    <w:p w14:paraId="131A9D39" w14:textId="77777777" w:rsidR="000F234E" w:rsidRPr="00EC4050" w:rsidRDefault="00000000" w:rsidP="00EC4050">
      <w:pPr>
        <w:widowControl w:val="0"/>
        <w:pBdr>
          <w:top w:val="nil"/>
          <w:left w:val="nil"/>
          <w:bottom w:val="nil"/>
          <w:right w:val="nil"/>
          <w:between w:val="nil"/>
        </w:pBdr>
        <w:spacing w:line="228" w:lineRule="auto"/>
        <w:ind w:left="167" w:right="-3"/>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In 2020, the peak is still among graduates and doctorates, although lower than the previous year.  This is might due to the introduction of emergency measures. In addition, there is also a reduction in  cinema-goers with the diploma of eighth grade. This change probably also stems from the  emergency measures ordered by the government, including the temporary closure of schools. </w:t>
      </w:r>
    </w:p>
    <w:p w14:paraId="7F0E4F0C" w14:textId="77777777" w:rsidR="000F234E" w:rsidRDefault="00000000" w:rsidP="00EC4050">
      <w:pPr>
        <w:widowControl w:val="0"/>
        <w:pBdr>
          <w:top w:val="nil"/>
          <w:left w:val="nil"/>
          <w:bottom w:val="nil"/>
          <w:right w:val="nil"/>
          <w:between w:val="nil"/>
        </w:pBdr>
        <w:spacing w:before="273" w:line="240" w:lineRule="auto"/>
        <w:ind w:left="163"/>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19050" distB="19050" distL="19050" distR="19050" wp14:anchorId="50A71B84" wp14:editId="35D77E48">
            <wp:extent cx="5173345" cy="313232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173345" cy="3132328"/>
                    </a:xfrm>
                    <a:prstGeom prst="rect">
                      <a:avLst/>
                    </a:prstGeom>
                    <a:ln/>
                  </pic:spPr>
                </pic:pic>
              </a:graphicData>
            </a:graphic>
          </wp:inline>
        </w:drawing>
      </w:r>
    </w:p>
    <w:p w14:paraId="27A6755F" w14:textId="7EFB3C1C" w:rsidR="00EC4050" w:rsidRDefault="00000000" w:rsidP="00EC4050">
      <w:pPr>
        <w:widowControl w:val="0"/>
        <w:pBdr>
          <w:top w:val="nil"/>
          <w:left w:val="nil"/>
          <w:bottom w:val="nil"/>
          <w:right w:val="nil"/>
          <w:between w:val="nil"/>
        </w:pBdr>
        <w:spacing w:line="247" w:lineRule="auto"/>
        <w:ind w:left="164" w:right="3" w:firstLine="2"/>
        <w:jc w:val="both"/>
        <w:rPr>
          <w:rFonts w:ascii="Times New Roman" w:eastAsia="Times New Roman" w:hAnsi="Times New Roman" w:cs="Times New Roman"/>
          <w:color w:val="000000"/>
          <w:lang w:val="en-GB"/>
        </w:rPr>
      </w:pPr>
      <w:r w:rsidRPr="00EC4050">
        <w:rPr>
          <w:rFonts w:ascii="Times New Roman" w:eastAsia="Times New Roman" w:hAnsi="Times New Roman" w:cs="Times New Roman"/>
          <w:color w:val="000000"/>
          <w:lang w:val="en-GB"/>
        </w:rPr>
        <w:t xml:space="preserve">The analysis showed that the tendency to attend out-of-home entertainment decreased between 2019  and 2020, maybe because of emergency measures issued in March 2020 to combat the spread of the  coronavirus. By analysing the influx of these cultural services on a territorial level, it is found that  the inhabitants of the north are the most culturally active. This is probably due to the distribution of  these services between geographical areas. As reported in the report of Istat, the use of these  services is greater where the infrastructure offer is higher and so in metropolitan areas that  characterise more the north. - -- Furthermore, it is observed how gender and age affect participation  in these activities. Focusing on the cinema and the people who go there between 4 and 6 times a  year, it is clear that participation decreases with age. Moreover, in 2019 and 2020, among young  people up to 24 years old, cinema-goers are especially women. In the other age groups, men seem to  prevail slightly. In the end, the difference between the number of male and female frequenters </w:t>
      </w:r>
      <w:r w:rsidR="00ED2089" w:rsidRPr="00EC4050">
        <w:rPr>
          <w:rFonts w:ascii="Times New Roman" w:eastAsia="Times New Roman" w:hAnsi="Times New Roman" w:cs="Times New Roman"/>
          <w:color w:val="000000"/>
          <w:lang w:val="en-GB"/>
        </w:rPr>
        <w:t>is subtle</w:t>
      </w:r>
      <w:r w:rsidRPr="00EC4050">
        <w:rPr>
          <w:rFonts w:ascii="Times New Roman" w:eastAsia="Times New Roman" w:hAnsi="Times New Roman" w:cs="Times New Roman"/>
          <w:color w:val="000000"/>
          <w:lang w:val="en-GB"/>
        </w:rPr>
        <w:t xml:space="preserve">. Focusing instead on cinema attendance by education level, it is found that those who visited  the cinema between 7 and 12 times between 2019 and 2020 are mostly people with high </w:t>
      </w:r>
      <w:r w:rsidR="00ED2089" w:rsidRPr="00EC4050">
        <w:rPr>
          <w:rFonts w:ascii="Times New Roman" w:eastAsia="Times New Roman" w:hAnsi="Times New Roman" w:cs="Times New Roman"/>
          <w:color w:val="000000"/>
          <w:lang w:val="en-GB"/>
        </w:rPr>
        <w:t>school leaving</w:t>
      </w:r>
      <w:r w:rsidRPr="00EC4050">
        <w:rPr>
          <w:rFonts w:ascii="Times New Roman" w:eastAsia="Times New Roman" w:hAnsi="Times New Roman" w:cs="Times New Roman"/>
          <w:color w:val="000000"/>
          <w:lang w:val="en-GB"/>
        </w:rPr>
        <w:t xml:space="preserve"> certificates. In general, as the level of education increases, the frequency with which </w:t>
      </w:r>
      <w:r w:rsidR="00ED2089" w:rsidRPr="00EC4050">
        <w:rPr>
          <w:rFonts w:ascii="Times New Roman" w:eastAsia="Times New Roman" w:hAnsi="Times New Roman" w:cs="Times New Roman"/>
          <w:color w:val="000000"/>
          <w:lang w:val="en-GB"/>
        </w:rPr>
        <w:t>people attend</w:t>
      </w:r>
      <w:r w:rsidRPr="00EC4050">
        <w:rPr>
          <w:rFonts w:ascii="Times New Roman" w:eastAsia="Times New Roman" w:hAnsi="Times New Roman" w:cs="Times New Roman"/>
          <w:color w:val="000000"/>
          <w:lang w:val="en-GB"/>
        </w:rPr>
        <w:t xml:space="preserve"> the cinema increases. 2020 are mostly people with high school leaving certificates. </w:t>
      </w:r>
      <w:r w:rsidR="00ED2089" w:rsidRPr="00EC4050">
        <w:rPr>
          <w:rFonts w:ascii="Times New Roman" w:eastAsia="Times New Roman" w:hAnsi="Times New Roman" w:cs="Times New Roman"/>
          <w:color w:val="000000"/>
          <w:lang w:val="en-GB"/>
        </w:rPr>
        <w:t>In general</w:t>
      </w:r>
      <w:r w:rsidRPr="00EC4050">
        <w:rPr>
          <w:rFonts w:ascii="Times New Roman" w:eastAsia="Times New Roman" w:hAnsi="Times New Roman" w:cs="Times New Roman"/>
          <w:color w:val="000000"/>
          <w:lang w:val="en-GB"/>
        </w:rPr>
        <w:t xml:space="preserve">, as the level of education increases, the frequency with which people attend the </w:t>
      </w:r>
      <w:r w:rsidR="00ED2089" w:rsidRPr="00EC4050">
        <w:rPr>
          <w:rFonts w:ascii="Times New Roman" w:eastAsia="Times New Roman" w:hAnsi="Times New Roman" w:cs="Times New Roman"/>
          <w:color w:val="000000"/>
          <w:lang w:val="en-GB"/>
        </w:rPr>
        <w:t>cinema increases</w:t>
      </w:r>
      <w:r w:rsidRPr="00EC4050">
        <w:rPr>
          <w:rFonts w:ascii="Times New Roman" w:eastAsia="Times New Roman" w:hAnsi="Times New Roman" w:cs="Times New Roman"/>
          <w:color w:val="000000"/>
          <w:lang w:val="en-GB"/>
        </w:rPr>
        <w:t xml:space="preserve">. The same result is reached by analysing the attendance at the museum with the </w:t>
      </w:r>
      <w:r w:rsidR="00ED2089" w:rsidRPr="00EC4050">
        <w:rPr>
          <w:rFonts w:ascii="Times New Roman" w:eastAsia="Times New Roman" w:hAnsi="Times New Roman" w:cs="Times New Roman"/>
          <w:color w:val="000000"/>
          <w:lang w:val="en-GB"/>
        </w:rPr>
        <w:t>difference that</w:t>
      </w:r>
      <w:r w:rsidRPr="00EC4050">
        <w:rPr>
          <w:rFonts w:ascii="Times New Roman" w:eastAsia="Times New Roman" w:hAnsi="Times New Roman" w:cs="Times New Roman"/>
          <w:color w:val="000000"/>
          <w:lang w:val="en-GB"/>
        </w:rPr>
        <w:t xml:space="preserve">, in this case, most people are graduates or have doctorates instead of having high school </w:t>
      </w:r>
      <w:r w:rsidR="00ED2089" w:rsidRPr="00EC4050">
        <w:rPr>
          <w:rFonts w:ascii="Times New Roman" w:eastAsia="Times New Roman" w:hAnsi="Times New Roman" w:cs="Times New Roman"/>
          <w:color w:val="000000"/>
          <w:lang w:val="en-GB"/>
        </w:rPr>
        <w:t>leaving certificates</w:t>
      </w:r>
      <w:r w:rsidRPr="00EC4050">
        <w:rPr>
          <w:rFonts w:ascii="Times New Roman" w:eastAsia="Times New Roman" w:hAnsi="Times New Roman" w:cs="Times New Roman"/>
          <w:color w:val="000000"/>
          <w:lang w:val="en-GB"/>
        </w:rPr>
        <w:t>.</w:t>
      </w:r>
    </w:p>
    <w:p w14:paraId="14E9CC2C" w14:textId="77777777" w:rsidR="00EC4050" w:rsidRDefault="00EC4050" w:rsidP="00EC4050">
      <w:pPr>
        <w:widowControl w:val="0"/>
        <w:pBdr>
          <w:top w:val="nil"/>
          <w:left w:val="nil"/>
          <w:bottom w:val="nil"/>
          <w:right w:val="nil"/>
          <w:between w:val="nil"/>
        </w:pBdr>
        <w:spacing w:line="247" w:lineRule="auto"/>
        <w:ind w:left="164" w:right="3" w:firstLine="2"/>
        <w:jc w:val="both"/>
        <w:rPr>
          <w:rFonts w:ascii="Times New Roman" w:eastAsia="Times New Roman" w:hAnsi="Times New Roman" w:cs="Times New Roman"/>
          <w:color w:val="000000"/>
          <w:lang w:val="en-GB"/>
        </w:rPr>
      </w:pPr>
    </w:p>
    <w:p w14:paraId="6802D994" w14:textId="77777777" w:rsidR="00ED2089" w:rsidRPr="00ED2089" w:rsidRDefault="00ED2089" w:rsidP="00ED2089">
      <w:pPr>
        <w:widowControl w:val="0"/>
        <w:pBdr>
          <w:top w:val="nil"/>
          <w:left w:val="nil"/>
          <w:bottom w:val="nil"/>
          <w:right w:val="nil"/>
          <w:between w:val="nil"/>
        </w:pBdr>
        <w:spacing w:line="247" w:lineRule="auto"/>
        <w:ind w:left="164" w:right="3" w:firstLine="2"/>
        <w:jc w:val="both"/>
        <w:rPr>
          <w:rFonts w:ascii="Times New Roman" w:eastAsia="Times New Roman" w:hAnsi="Times New Roman" w:cs="Times New Roman"/>
          <w:color w:val="000000"/>
        </w:rPr>
      </w:pPr>
      <w:r w:rsidRPr="00ED2089">
        <w:rPr>
          <w:rFonts w:ascii="Times New Roman" w:eastAsia="Times New Roman" w:hAnsi="Times New Roman" w:cs="Times New Roman"/>
          <w:b/>
          <w:bCs/>
          <w:color w:val="000000"/>
        </w:rPr>
        <w:t>References</w:t>
      </w:r>
    </w:p>
    <w:p w14:paraId="2C8B5131" w14:textId="77777777" w:rsidR="00ED2089" w:rsidRDefault="00ED2089" w:rsidP="00ED2089">
      <w:pPr>
        <w:pStyle w:val="Paragrafoelenco"/>
        <w:widowControl w:val="0"/>
        <w:numPr>
          <w:ilvl w:val="0"/>
          <w:numId w:val="1"/>
        </w:numPr>
        <w:pBdr>
          <w:top w:val="nil"/>
          <w:left w:val="nil"/>
          <w:bottom w:val="nil"/>
          <w:right w:val="nil"/>
          <w:between w:val="nil"/>
        </w:pBdr>
        <w:spacing w:line="247" w:lineRule="auto"/>
        <w:ind w:right="3"/>
        <w:jc w:val="both"/>
        <w:rPr>
          <w:rFonts w:ascii="Times New Roman" w:eastAsia="Times New Roman" w:hAnsi="Times New Roman" w:cs="Times New Roman"/>
          <w:color w:val="000000"/>
        </w:rPr>
      </w:pPr>
      <w:r w:rsidRPr="00ED2089">
        <w:rPr>
          <w:rFonts w:ascii="Times New Roman" w:eastAsia="Times New Roman" w:hAnsi="Times New Roman" w:cs="Times New Roman"/>
          <w:color w:val="000000"/>
        </w:rPr>
        <w:t xml:space="preserve">Ministero della Cultura. (2020, March 8). </w:t>
      </w:r>
      <w:r w:rsidRPr="00ED2089">
        <w:rPr>
          <w:rFonts w:ascii="Times New Roman" w:eastAsia="Times New Roman" w:hAnsi="Times New Roman" w:cs="Times New Roman"/>
          <w:i/>
          <w:iCs/>
          <w:color w:val="000000"/>
        </w:rPr>
        <w:t>COVID-19: Nuove disposizioni urgenti – Chiusi in tutta Italia cinema, teatri, musei, parchi archeologici, archivi e biblioteche</w:t>
      </w:r>
      <w:r w:rsidRPr="00ED2089">
        <w:rPr>
          <w:rFonts w:ascii="Times New Roman" w:eastAsia="Times New Roman" w:hAnsi="Times New Roman" w:cs="Times New Roman"/>
          <w:color w:val="000000"/>
        </w:rPr>
        <w:t>. Retrieved from</w:t>
      </w:r>
      <w:r w:rsidRPr="00ED2089">
        <w:rPr>
          <w:rFonts w:ascii="Times New Roman" w:eastAsia="Times New Roman" w:hAnsi="Times New Roman" w:cs="Times New Roman"/>
          <w:color w:val="000000"/>
        </w:rPr>
        <w:br/>
      </w:r>
      <w:hyperlink r:id="rId18" w:history="1">
        <w:r w:rsidRPr="00E1275A">
          <w:rPr>
            <w:rStyle w:val="Collegamentoipertestuale"/>
            <w:rFonts w:ascii="Times New Roman" w:eastAsia="Times New Roman" w:hAnsi="Times New Roman" w:cs="Times New Roman"/>
          </w:rPr>
          <w:t>https://www.beniculturali.it/comunicato/covid-19-nuove-disposizioni-urgenti-chiusi-in-tutta-italia-cinema-teatri-musei-parchi-archeologici-archivi-e-bibliotechecovid-19-new-urgent-provisions-closed-all-over-italy-cinemas-theatre-museums-archeological-sites-archives-1</w:t>
        </w:r>
      </w:hyperlink>
    </w:p>
    <w:p w14:paraId="35A722E5" w14:textId="329534DF" w:rsidR="00ED2089" w:rsidRPr="00ED2089" w:rsidRDefault="00ED2089" w:rsidP="00ED2089">
      <w:pPr>
        <w:pStyle w:val="Paragrafoelenco"/>
        <w:widowControl w:val="0"/>
        <w:numPr>
          <w:ilvl w:val="0"/>
          <w:numId w:val="1"/>
        </w:numPr>
        <w:pBdr>
          <w:top w:val="nil"/>
          <w:left w:val="nil"/>
          <w:bottom w:val="nil"/>
          <w:right w:val="nil"/>
          <w:between w:val="nil"/>
        </w:pBdr>
        <w:spacing w:line="247" w:lineRule="auto"/>
        <w:ind w:right="3"/>
        <w:jc w:val="both"/>
        <w:rPr>
          <w:rFonts w:ascii="Times New Roman" w:eastAsia="Times New Roman" w:hAnsi="Times New Roman" w:cs="Times New Roman"/>
          <w:color w:val="000000"/>
          <w:lang w:val="en-GB"/>
        </w:rPr>
      </w:pPr>
      <w:r w:rsidRPr="00ED2089">
        <w:rPr>
          <w:rFonts w:ascii="Times New Roman" w:eastAsia="Times New Roman" w:hAnsi="Times New Roman" w:cs="Times New Roman"/>
          <w:color w:val="000000"/>
        </w:rPr>
        <w:t xml:space="preserve">ISTAT. (2020). </w:t>
      </w:r>
      <w:r w:rsidRPr="00ED2089">
        <w:rPr>
          <w:rFonts w:ascii="Times New Roman" w:eastAsia="Times New Roman" w:hAnsi="Times New Roman" w:cs="Times New Roman"/>
          <w:i/>
          <w:iCs/>
          <w:color w:val="000000"/>
        </w:rPr>
        <w:t>Aspetti della vita quotidiana - Anno 2019</w:t>
      </w:r>
      <w:r w:rsidRPr="00ED2089">
        <w:rPr>
          <w:rFonts w:ascii="Times New Roman" w:eastAsia="Times New Roman" w:hAnsi="Times New Roman" w:cs="Times New Roman"/>
          <w:color w:val="000000"/>
        </w:rPr>
        <w:t xml:space="preserve"> (Capitolo C10). </w:t>
      </w:r>
      <w:r w:rsidRPr="00ED2089">
        <w:rPr>
          <w:rFonts w:ascii="Times New Roman" w:eastAsia="Times New Roman" w:hAnsi="Times New Roman" w:cs="Times New Roman"/>
          <w:color w:val="000000"/>
          <w:lang w:val="en-GB"/>
        </w:rPr>
        <w:t>Retrieved from</w:t>
      </w:r>
      <w:r w:rsidRPr="00ED2089">
        <w:rPr>
          <w:rFonts w:ascii="Times New Roman" w:eastAsia="Times New Roman" w:hAnsi="Times New Roman" w:cs="Times New Roman"/>
          <w:color w:val="000000"/>
          <w:lang w:val="en-GB"/>
        </w:rPr>
        <w:t xml:space="preserve">  </w:t>
      </w:r>
      <w:r>
        <w:rPr>
          <w:rFonts w:ascii="Times New Roman" w:eastAsia="Times New Roman" w:hAnsi="Times New Roman" w:cs="Times New Roman"/>
          <w:color w:val="000000"/>
          <w:lang w:val="en-GB"/>
        </w:rPr>
        <w:t xml:space="preserve">   </w:t>
      </w:r>
      <w:hyperlink r:id="rId19" w:history="1">
        <w:r w:rsidRPr="00E1275A">
          <w:rPr>
            <w:rStyle w:val="Collegamentoipertestuale"/>
            <w:rFonts w:ascii="Times New Roman" w:eastAsia="Times New Roman" w:hAnsi="Times New Roman" w:cs="Times New Roman"/>
            <w:lang w:val="en-GB"/>
          </w:rPr>
          <w:t>https://www.istat.it/it/files/2020/12/C10.pdf</w:t>
        </w:r>
      </w:hyperlink>
    </w:p>
    <w:p w14:paraId="6743DC62" w14:textId="665EB2A8" w:rsidR="00ED2089" w:rsidRPr="00ED2089" w:rsidRDefault="00ED2089" w:rsidP="00ED2089">
      <w:pPr>
        <w:pStyle w:val="Paragrafoelenco"/>
        <w:widowControl w:val="0"/>
        <w:numPr>
          <w:ilvl w:val="0"/>
          <w:numId w:val="1"/>
        </w:numPr>
        <w:pBdr>
          <w:top w:val="nil"/>
          <w:left w:val="nil"/>
          <w:bottom w:val="nil"/>
          <w:right w:val="nil"/>
          <w:between w:val="nil"/>
        </w:pBdr>
        <w:spacing w:line="247" w:lineRule="auto"/>
        <w:ind w:right="3"/>
        <w:jc w:val="both"/>
        <w:rPr>
          <w:rFonts w:ascii="Times New Roman" w:eastAsia="Times New Roman" w:hAnsi="Times New Roman" w:cs="Times New Roman"/>
          <w:color w:val="000000"/>
        </w:rPr>
      </w:pPr>
      <w:r w:rsidRPr="00ED2089">
        <w:rPr>
          <w:rFonts w:ascii="Times New Roman" w:eastAsia="Times New Roman" w:hAnsi="Times New Roman" w:cs="Times New Roman"/>
          <w:color w:val="000000"/>
        </w:rPr>
        <w:t xml:space="preserve">ISTAT. (2021). </w:t>
      </w:r>
      <w:r w:rsidRPr="00ED2089">
        <w:rPr>
          <w:rFonts w:ascii="Times New Roman" w:eastAsia="Times New Roman" w:hAnsi="Times New Roman" w:cs="Times New Roman"/>
          <w:i/>
          <w:iCs/>
          <w:color w:val="000000"/>
        </w:rPr>
        <w:t>Aspetti della vita quotidiana - Anno 2020</w:t>
      </w:r>
      <w:r w:rsidRPr="00ED2089">
        <w:rPr>
          <w:rFonts w:ascii="Times New Roman" w:eastAsia="Times New Roman" w:hAnsi="Times New Roman" w:cs="Times New Roman"/>
          <w:color w:val="000000"/>
        </w:rPr>
        <w:t xml:space="preserve"> (Capitolo C10). Retrieved from</w:t>
      </w:r>
      <w:r w:rsidRPr="00ED2089">
        <w:rPr>
          <w:rFonts w:ascii="Times New Roman" w:eastAsia="Times New Roman" w:hAnsi="Times New Roman" w:cs="Times New Roman"/>
          <w:color w:val="000000"/>
        </w:rPr>
        <w:br/>
      </w:r>
      <w:hyperlink r:id="rId20" w:tgtFrame="_new" w:history="1">
        <w:r w:rsidRPr="00ED2089">
          <w:rPr>
            <w:rStyle w:val="Collegamentoipertestuale"/>
            <w:rFonts w:ascii="Times New Roman" w:eastAsia="Times New Roman" w:hAnsi="Times New Roman" w:cs="Times New Roman"/>
          </w:rPr>
          <w:t>https://www.istat.it/storage/ASI/2021/capitoli/C10.pdf</w:t>
        </w:r>
      </w:hyperlink>
    </w:p>
    <w:p w14:paraId="414F6E98" w14:textId="1A33A9C8" w:rsidR="00ED2089" w:rsidRPr="00ED2089" w:rsidRDefault="00ED2089" w:rsidP="00ED2089">
      <w:pPr>
        <w:pStyle w:val="Paragrafoelenco"/>
        <w:widowControl w:val="0"/>
        <w:numPr>
          <w:ilvl w:val="0"/>
          <w:numId w:val="1"/>
        </w:numPr>
        <w:pBdr>
          <w:top w:val="nil"/>
          <w:left w:val="nil"/>
          <w:bottom w:val="nil"/>
          <w:right w:val="nil"/>
          <w:between w:val="nil"/>
        </w:pBdr>
        <w:spacing w:line="247" w:lineRule="auto"/>
        <w:ind w:right="3"/>
        <w:jc w:val="both"/>
        <w:rPr>
          <w:rFonts w:ascii="Times New Roman" w:eastAsia="Times New Roman" w:hAnsi="Times New Roman" w:cs="Times New Roman"/>
          <w:color w:val="000000"/>
        </w:rPr>
      </w:pPr>
      <w:r w:rsidRPr="00ED2089">
        <w:rPr>
          <w:rFonts w:ascii="Times New Roman" w:eastAsia="Times New Roman" w:hAnsi="Times New Roman" w:cs="Times New Roman"/>
          <w:color w:val="000000"/>
        </w:rPr>
        <w:t xml:space="preserve">ISTAT. (2022). </w:t>
      </w:r>
      <w:r w:rsidRPr="00ED2089">
        <w:rPr>
          <w:rFonts w:ascii="Times New Roman" w:eastAsia="Times New Roman" w:hAnsi="Times New Roman" w:cs="Times New Roman"/>
          <w:i/>
          <w:iCs/>
          <w:color w:val="000000"/>
        </w:rPr>
        <w:t>Musei e istituzioni similari in Italia</w:t>
      </w:r>
      <w:r w:rsidRPr="00ED2089">
        <w:rPr>
          <w:rFonts w:ascii="Times New Roman" w:eastAsia="Times New Roman" w:hAnsi="Times New Roman" w:cs="Times New Roman"/>
          <w:color w:val="000000"/>
        </w:rPr>
        <w:t>. Retrieved from</w:t>
      </w:r>
      <w:r w:rsidRPr="00ED2089">
        <w:rPr>
          <w:rFonts w:ascii="Times New Roman" w:eastAsia="Times New Roman" w:hAnsi="Times New Roman" w:cs="Times New Roman"/>
          <w:color w:val="000000"/>
        </w:rPr>
        <w:br/>
      </w:r>
      <w:hyperlink r:id="rId21" w:history="1">
        <w:r w:rsidRPr="00ED2089">
          <w:rPr>
            <w:rStyle w:val="Collegamentoipertestuale"/>
            <w:rFonts w:ascii="Times New Roman" w:eastAsia="Times New Roman" w:hAnsi="Times New Roman" w:cs="Times New Roman"/>
          </w:rPr>
          <w:t>https://www.istat.it/it/files/2022/02/REPORT_MUSEI-E-ISTITUZIONI-SIMILARI-IN-ITALIA.pdf</w:t>
        </w:r>
      </w:hyperlink>
    </w:p>
    <w:p w14:paraId="67005313" w14:textId="77777777" w:rsidR="00ED2089" w:rsidRDefault="00ED2089" w:rsidP="00ED2089">
      <w:pPr>
        <w:widowControl w:val="0"/>
        <w:pBdr>
          <w:top w:val="nil"/>
          <w:left w:val="nil"/>
          <w:bottom w:val="nil"/>
          <w:right w:val="nil"/>
          <w:between w:val="nil"/>
        </w:pBdr>
        <w:spacing w:line="247" w:lineRule="auto"/>
        <w:ind w:left="164" w:right="3" w:firstLine="2"/>
        <w:jc w:val="both"/>
        <w:rPr>
          <w:rFonts w:ascii="Times New Roman" w:eastAsia="Times New Roman" w:hAnsi="Times New Roman" w:cs="Times New Roman"/>
          <w:color w:val="000000"/>
        </w:rPr>
      </w:pPr>
    </w:p>
    <w:p w14:paraId="5E67B518" w14:textId="017E57F0" w:rsidR="000F234E" w:rsidRPr="00ED2089" w:rsidRDefault="00ED2089" w:rsidP="00ED2089">
      <w:pPr>
        <w:widowControl w:val="0"/>
        <w:pBdr>
          <w:top w:val="nil"/>
          <w:left w:val="nil"/>
          <w:bottom w:val="nil"/>
          <w:right w:val="nil"/>
          <w:between w:val="nil"/>
        </w:pBdr>
        <w:spacing w:line="247" w:lineRule="auto"/>
        <w:ind w:left="164" w:right="3" w:firstLine="2"/>
        <w:jc w:val="right"/>
        <w:rPr>
          <w:rFonts w:ascii="Times New Roman" w:eastAsia="Times New Roman" w:hAnsi="Times New Roman" w:cs="Times New Roman"/>
          <w:color w:val="000000"/>
        </w:rPr>
      </w:pPr>
      <w:r w:rsidRPr="00ED2089">
        <w:rPr>
          <w:rFonts w:ascii="Times New Roman" w:eastAsia="Times New Roman" w:hAnsi="Times New Roman" w:cs="Times New Roman"/>
          <w:color w:val="000000"/>
          <w:lang w:val="en-GB"/>
        </w:rPr>
        <w:t>ISABELLA CAPPIELLO</w:t>
      </w:r>
    </w:p>
    <w:sectPr w:rsidR="000F234E" w:rsidRPr="00ED2089">
      <w:pgSz w:w="11900" w:h="16820"/>
      <w:pgMar w:top="1421" w:right="1472" w:bottom="1498" w:left="136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B9CF0FA0-3B0C-4655-A387-B68EFFB6BA69}"/>
    <w:embedItalic r:id="rId2" w:fontKey="{5E5B74D8-70CC-4D1D-B154-8D6BABEC18DE}"/>
  </w:font>
  <w:font w:name="Calibri">
    <w:panose1 w:val="020F0502020204030204"/>
    <w:charset w:val="00"/>
    <w:family w:val="swiss"/>
    <w:pitch w:val="variable"/>
    <w:sig w:usb0="E4002EFF" w:usb1="C200247B" w:usb2="00000009" w:usb3="00000000" w:csb0="000001FF" w:csb1="00000000"/>
    <w:embedRegular r:id="rId3" w:fontKey="{AED31ABA-284B-45D9-BAC4-9B1D54927662}"/>
  </w:font>
  <w:font w:name="Cambria">
    <w:panose1 w:val="02040503050406030204"/>
    <w:charset w:val="00"/>
    <w:family w:val="roman"/>
    <w:pitch w:val="variable"/>
    <w:sig w:usb0="E00006FF" w:usb1="420024FF" w:usb2="02000000" w:usb3="00000000" w:csb0="0000019F" w:csb1="00000000"/>
    <w:embedRegular r:id="rId4" w:fontKey="{8F14EE43-BB47-488D-814C-A1FD3757B5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83288"/>
    <w:multiLevelType w:val="hybridMultilevel"/>
    <w:tmpl w:val="2092E7B2"/>
    <w:lvl w:ilvl="0" w:tplc="21306EE8">
      <w:numFmt w:val="bullet"/>
      <w:lvlText w:val="-"/>
      <w:lvlJc w:val="left"/>
      <w:pPr>
        <w:ind w:left="526" w:hanging="360"/>
      </w:pPr>
      <w:rPr>
        <w:rFonts w:ascii="Times New Roman" w:eastAsia="Times New Roman" w:hAnsi="Times New Roman" w:cs="Times New Roman" w:hint="default"/>
      </w:rPr>
    </w:lvl>
    <w:lvl w:ilvl="1" w:tplc="04100003" w:tentative="1">
      <w:start w:val="1"/>
      <w:numFmt w:val="bullet"/>
      <w:lvlText w:val="o"/>
      <w:lvlJc w:val="left"/>
      <w:pPr>
        <w:ind w:left="1246" w:hanging="360"/>
      </w:pPr>
      <w:rPr>
        <w:rFonts w:ascii="Courier New" w:hAnsi="Courier New" w:cs="Courier New" w:hint="default"/>
      </w:rPr>
    </w:lvl>
    <w:lvl w:ilvl="2" w:tplc="04100005" w:tentative="1">
      <w:start w:val="1"/>
      <w:numFmt w:val="bullet"/>
      <w:lvlText w:val=""/>
      <w:lvlJc w:val="left"/>
      <w:pPr>
        <w:ind w:left="1966" w:hanging="360"/>
      </w:pPr>
      <w:rPr>
        <w:rFonts w:ascii="Wingdings" w:hAnsi="Wingdings" w:hint="default"/>
      </w:rPr>
    </w:lvl>
    <w:lvl w:ilvl="3" w:tplc="04100001" w:tentative="1">
      <w:start w:val="1"/>
      <w:numFmt w:val="bullet"/>
      <w:lvlText w:val=""/>
      <w:lvlJc w:val="left"/>
      <w:pPr>
        <w:ind w:left="2686" w:hanging="360"/>
      </w:pPr>
      <w:rPr>
        <w:rFonts w:ascii="Symbol" w:hAnsi="Symbol" w:hint="default"/>
      </w:rPr>
    </w:lvl>
    <w:lvl w:ilvl="4" w:tplc="04100003" w:tentative="1">
      <w:start w:val="1"/>
      <w:numFmt w:val="bullet"/>
      <w:lvlText w:val="o"/>
      <w:lvlJc w:val="left"/>
      <w:pPr>
        <w:ind w:left="3406" w:hanging="360"/>
      </w:pPr>
      <w:rPr>
        <w:rFonts w:ascii="Courier New" w:hAnsi="Courier New" w:cs="Courier New" w:hint="default"/>
      </w:rPr>
    </w:lvl>
    <w:lvl w:ilvl="5" w:tplc="04100005" w:tentative="1">
      <w:start w:val="1"/>
      <w:numFmt w:val="bullet"/>
      <w:lvlText w:val=""/>
      <w:lvlJc w:val="left"/>
      <w:pPr>
        <w:ind w:left="4126" w:hanging="360"/>
      </w:pPr>
      <w:rPr>
        <w:rFonts w:ascii="Wingdings" w:hAnsi="Wingdings" w:hint="default"/>
      </w:rPr>
    </w:lvl>
    <w:lvl w:ilvl="6" w:tplc="04100001" w:tentative="1">
      <w:start w:val="1"/>
      <w:numFmt w:val="bullet"/>
      <w:lvlText w:val=""/>
      <w:lvlJc w:val="left"/>
      <w:pPr>
        <w:ind w:left="4846" w:hanging="360"/>
      </w:pPr>
      <w:rPr>
        <w:rFonts w:ascii="Symbol" w:hAnsi="Symbol" w:hint="default"/>
      </w:rPr>
    </w:lvl>
    <w:lvl w:ilvl="7" w:tplc="04100003" w:tentative="1">
      <w:start w:val="1"/>
      <w:numFmt w:val="bullet"/>
      <w:lvlText w:val="o"/>
      <w:lvlJc w:val="left"/>
      <w:pPr>
        <w:ind w:left="5566" w:hanging="360"/>
      </w:pPr>
      <w:rPr>
        <w:rFonts w:ascii="Courier New" w:hAnsi="Courier New" w:cs="Courier New" w:hint="default"/>
      </w:rPr>
    </w:lvl>
    <w:lvl w:ilvl="8" w:tplc="04100005" w:tentative="1">
      <w:start w:val="1"/>
      <w:numFmt w:val="bullet"/>
      <w:lvlText w:val=""/>
      <w:lvlJc w:val="left"/>
      <w:pPr>
        <w:ind w:left="6286" w:hanging="360"/>
      </w:pPr>
      <w:rPr>
        <w:rFonts w:ascii="Wingdings" w:hAnsi="Wingdings" w:hint="default"/>
      </w:rPr>
    </w:lvl>
  </w:abstractNum>
  <w:num w:numId="1" w16cid:durableId="960261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34E"/>
    <w:rsid w:val="000F234E"/>
    <w:rsid w:val="001B7E56"/>
    <w:rsid w:val="007E1D8C"/>
    <w:rsid w:val="00D80229"/>
    <w:rsid w:val="00EC4050"/>
    <w:rsid w:val="00ED20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07FD8"/>
  <w15:docId w15:val="{3EF0A6C9-9CA4-4211-925C-23E8DF35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character" w:styleId="Collegamentoipertestuale">
    <w:name w:val="Hyperlink"/>
    <w:basedOn w:val="Carpredefinitoparagrafo"/>
    <w:uiPriority w:val="99"/>
    <w:unhideWhenUsed/>
    <w:rsid w:val="00ED2089"/>
    <w:rPr>
      <w:color w:val="0000FF" w:themeColor="hyperlink"/>
      <w:u w:val="single"/>
    </w:rPr>
  </w:style>
  <w:style w:type="character" w:styleId="Menzionenonrisolta">
    <w:name w:val="Unresolved Mention"/>
    <w:basedOn w:val="Carpredefinitoparagrafo"/>
    <w:uiPriority w:val="99"/>
    <w:semiHidden/>
    <w:unhideWhenUsed/>
    <w:rsid w:val="00ED2089"/>
    <w:rPr>
      <w:color w:val="605E5C"/>
      <w:shd w:val="clear" w:color="auto" w:fill="E1DFDD"/>
    </w:rPr>
  </w:style>
  <w:style w:type="paragraph" w:styleId="Paragrafoelenco">
    <w:name w:val="List Paragraph"/>
    <w:basedOn w:val="Normale"/>
    <w:uiPriority w:val="34"/>
    <w:qFormat/>
    <w:rsid w:val="00ED2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150556">
      <w:bodyDiv w:val="1"/>
      <w:marLeft w:val="0"/>
      <w:marRight w:val="0"/>
      <w:marTop w:val="0"/>
      <w:marBottom w:val="0"/>
      <w:divBdr>
        <w:top w:val="none" w:sz="0" w:space="0" w:color="auto"/>
        <w:left w:val="none" w:sz="0" w:space="0" w:color="auto"/>
        <w:bottom w:val="none" w:sz="0" w:space="0" w:color="auto"/>
        <w:right w:val="none" w:sz="0" w:space="0" w:color="auto"/>
      </w:divBdr>
    </w:div>
    <w:div w:id="494733934">
      <w:bodyDiv w:val="1"/>
      <w:marLeft w:val="0"/>
      <w:marRight w:val="0"/>
      <w:marTop w:val="0"/>
      <w:marBottom w:val="0"/>
      <w:divBdr>
        <w:top w:val="none" w:sz="0" w:space="0" w:color="auto"/>
        <w:left w:val="none" w:sz="0" w:space="0" w:color="auto"/>
        <w:bottom w:val="none" w:sz="0" w:space="0" w:color="auto"/>
        <w:right w:val="none" w:sz="0" w:space="0" w:color="auto"/>
      </w:divBdr>
    </w:div>
    <w:div w:id="1190800473">
      <w:bodyDiv w:val="1"/>
      <w:marLeft w:val="0"/>
      <w:marRight w:val="0"/>
      <w:marTop w:val="0"/>
      <w:marBottom w:val="0"/>
      <w:divBdr>
        <w:top w:val="none" w:sz="0" w:space="0" w:color="auto"/>
        <w:left w:val="none" w:sz="0" w:space="0" w:color="auto"/>
        <w:bottom w:val="none" w:sz="0" w:space="0" w:color="auto"/>
        <w:right w:val="none" w:sz="0" w:space="0" w:color="auto"/>
      </w:divBdr>
    </w:div>
    <w:div w:id="183483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beniculturali.it/comunicato/covid-19-nuove-disposizioni-urgenti-chiusi-in-tutta-italia-cinema-teatri-musei-parchi-archeologici-archivi-e-bibliotechecovid-19-new-urgent-provisions-closed-all-over-italy-cinemas-theatre-museums-archeological-sites-archives-1" TargetMode="External"/><Relationship Id="rId3" Type="http://schemas.openxmlformats.org/officeDocument/2006/relationships/settings" Target="settings.xml"/><Relationship Id="rId21" Type="http://schemas.openxmlformats.org/officeDocument/2006/relationships/hyperlink" Target="https://www.istat.it/it/files/2022/02/REPORT_MUSEI-E-ISTITUZIONI-SIMILARI-IN-ITALIA.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stat.it/storage/ASI/2021/capitoli/C10.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istat.it/it/files/2020/12/C10.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2520</Words>
  <Characters>14367</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Isabella Cappiello</cp:lastModifiedBy>
  <cp:revision>10</cp:revision>
  <dcterms:created xsi:type="dcterms:W3CDTF">2025-07-16T22:06:00Z</dcterms:created>
  <dcterms:modified xsi:type="dcterms:W3CDTF">2025-07-16T22:29:00Z</dcterms:modified>
</cp:coreProperties>
</file>