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FICHAMENTO </w:t>
      </w:r>
    </w:p>
    <w:p w:rsidR="00000000" w:rsidDel="00000000" w:rsidP="00000000" w:rsidRDefault="00000000" w:rsidRPr="00000000" w14:paraId="00000002">
      <w:pPr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Nome: Isadora Morcelli Loureiro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Matéria:CS107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i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Livro: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CIBERNÉTICA E SOCIEDADE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  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o uso humano dos seres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Autor: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NORBERT WEINER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Forma de leitura: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PDF</w:t>
      </w:r>
    </w:p>
    <w:p w:rsidR="00000000" w:rsidDel="00000000" w:rsidP="00000000" w:rsidRDefault="00000000" w:rsidRPr="00000000" w14:paraId="00000007">
      <w:pPr>
        <w:ind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Norma ABNT 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WIENER, Norbert.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 Cibernética e sociedade - o uso humano dos seres humanos.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2ª edição. São Paulo. Editora Cultrix, 1954.</w:t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Legenda da formatação: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4"/>
          <w:szCs w:val="24"/>
          <w:rtl w:val="0"/>
        </w:rPr>
        <w:t xml:space="preserve">Itálico e azul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Citações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 roxa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51c75"/>
          <w:rtl w:val="0"/>
        </w:rPr>
        <w:t xml:space="preserve">➝)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Comentário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425.19685039370086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CAPÍTULO V - ORGANIZAÇÃO COMO MENSAGEM (pág 94 a 103)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hanging="425.19685039370086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RESUMO: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Traz questões biológicas sobre as constituição da individualidade do organismo e da base da comunicação, a transmissão de mensagem. </w:t>
      </w:r>
    </w:p>
    <w:p w:rsidR="00000000" w:rsidDel="00000000" w:rsidP="00000000" w:rsidRDefault="00000000" w:rsidRPr="00000000" w14:paraId="00000010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Questão a ser desenvolvida no capítulo: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“ A metáfora a que devoto êste capítulo é aquela em que o organismo é visto como mensagem.”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 pág 94 )</w:t>
      </w:r>
    </w:p>
    <w:p w:rsidR="00000000" w:rsidDel="00000000" w:rsidP="00000000" w:rsidRDefault="00000000" w:rsidRPr="00000000" w14:paraId="00000012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HOMEOSTASE - mecanismo biológico de sobrevivência do ser humano, que regula o organismo para resistir à situações hostis (final da pág 94, começo da 95)</w:t>
      </w:r>
    </w:p>
    <w:p w:rsidR="00000000" w:rsidDel="00000000" w:rsidP="00000000" w:rsidRDefault="00000000" w:rsidRPr="00000000" w14:paraId="00000014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Estamos em constante transformação biológica -</w:t>
      </w:r>
      <w:r w:rsidDel="00000000" w:rsidR="00000000" w:rsidRPr="00000000">
        <w:rPr>
          <w:rFonts w:ascii="Courier New" w:cs="Courier New" w:eastAsia="Courier New" w:hAnsi="Courier New"/>
          <w:color w:val="3d85c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“ Não somos material que subsista, mas padrões que se perpetuam a si próprios. Um padrão é uma mensagem e pode ser transmitido como tal. “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95)</w:t>
      </w:r>
    </w:p>
    <w:p w:rsidR="00000000" w:rsidDel="00000000" w:rsidP="00000000" w:rsidRDefault="00000000" w:rsidRPr="00000000" w14:paraId="00000016">
      <w:pPr>
        <w:ind w:hanging="425.19685039370086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968.503937007874" w:hanging="420"/>
        <w:jc w:val="both"/>
        <w:rPr>
          <w:rFonts w:ascii="Courier New" w:cs="Courier New" w:eastAsia="Courier New" w:hAnsi="Courier New"/>
          <w:color w:val="351c7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“É divertido, tanto quanto instrutivo, imaginar o que aconteceria se transmitiremos o padrão global do corpo humano, do cérebro humano com suas recordações e suas conexões entrecruzadas, de modo que um hipotético instrumento receptor pudesse incorporar tais mensagens numa matéria apropriada, capaz de dar continuidade a processos já em curso no corpo e na mente, e de manter a integridade necessária a tal continuidade por via de um processo de homeostase.” 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pág 95)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51c75"/>
          <w:sz w:val="26"/>
          <w:szCs w:val="26"/>
          <w:rtl w:val="0"/>
        </w:rPr>
        <w:t xml:space="preserve">➝</w:t>
      </w:r>
      <w:r w:rsidDel="00000000" w:rsidR="00000000" w:rsidRPr="00000000">
        <w:rPr>
          <w:rFonts w:ascii="Courier New" w:cs="Courier New" w:eastAsia="Courier New" w:hAnsi="Courier New"/>
          <w:color w:val="351c75"/>
          <w:sz w:val="26"/>
          <w:szCs w:val="26"/>
          <w:rtl w:val="0"/>
        </w:rPr>
        <w:t xml:space="preserve"> Me remete a “ Promessa da Inteligência Artificial”</w:t>
      </w:r>
    </w:p>
    <w:p w:rsidR="00000000" w:rsidDel="00000000" w:rsidP="00000000" w:rsidRDefault="00000000" w:rsidRPr="00000000" w14:paraId="00000018">
      <w:pPr>
        <w:ind w:left="141.73228346456688" w:hanging="420"/>
        <w:jc w:val="both"/>
        <w:rPr>
          <w:rFonts w:ascii="Courier New" w:cs="Courier New" w:eastAsia="Courier New" w:hAnsi="Courier New"/>
          <w:color w:val="351c7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hanging="42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Pode se expandir a transmissão das  ideias e experiências para o mundo sem haver o transporte físico do corpo (pág 96), usando de exemplo o caso do “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UltraFax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” ( pág 97), com isso 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“Ver e dar ordens ao mundo inteiro é quase o mesmo que estar em tôda parte.”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(pág 96).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968.503937007874" w:hanging="425.1968503937013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351c7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 “... o transporte de mensagens serve para enviar, de um a outro confim do mundo, uma extensão dos sentidos do homem e de suas aptidões para a ação. Já sugerimos, neste mesmo capítulo, que a distinção entre transporte material e transporte de mensagem não é, em qualquer sentido teórico, permanente e infranqueável.”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 pág 97)</w:t>
      </w:r>
    </w:p>
    <w:p w:rsidR="00000000" w:rsidDel="00000000" w:rsidP="00000000" w:rsidRDefault="00000000" w:rsidRPr="00000000" w14:paraId="0000001C">
      <w:pPr>
        <w:ind w:left="3968.503937007874" w:hanging="425.1968503937013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425.1968503937008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autor traz as questões da essência da Individualidade e dos limites de separação das Personalidades (pág 97). Para isso faz uma retrospectiva, trazendo a definição de Alma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da religião Cristã (pág 97), as diferenças das definições do Budismo (pág 98), a tentativa de explicação nos  primórdios da ciência com ênfase em  Leibnitz (pág 98), a questão dos gêmeos e “monstros duplos” e suas personalidades (pág 99), além do Dr. Morton Prince e as múltiplas personalidade (pág 100). Ele c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onclui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 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que fica evidente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 “A identidade física de um indivíduo não consiste na matéria de que é feito. “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100).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968.503937007874" w:hanging="425.1968503937013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- “ A individualidade biológica de um organismo parece residir numa certa continuidade de processo, e na memorização, pelo organismo, dos efeitos de seus desenvolvimentos pretéritos. Isso parece também aplicar-se ao seu desenvolvimento mental. Em termos de máquina computadora, a individualidade de uma mente está na retenção de seus anteriores registros e recordações e no seu contínuo desenvolvimento segundo linhas já traçadas”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100)</w:t>
      </w:r>
    </w:p>
    <w:p w:rsidR="00000000" w:rsidDel="00000000" w:rsidP="00000000" w:rsidRDefault="00000000" w:rsidRPr="00000000" w14:paraId="00000020">
      <w:pPr>
        <w:ind w:left="3968.503937007874" w:hanging="283.4645669291342"/>
        <w:jc w:val="both"/>
        <w:rPr>
          <w:rFonts w:ascii="Courier New" w:cs="Courier New" w:eastAsia="Courier New" w:hAnsi="Courier New"/>
          <w:i w:val="1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425.1968503937008"/>
        <w:jc w:val="both"/>
        <w:rPr>
          <w:rFonts w:ascii="Courier New" w:cs="Courier New" w:eastAsia="Courier New" w:hAnsi="Courier New"/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 Com isso o autor faz uma analogia as máquinas que possuem o mesmo padrão , mas trabalham paralelamente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, “(...)de maior ou menor grau de independência.”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101),</w:t>
      </w:r>
      <w:r w:rsidDel="00000000" w:rsidR="00000000" w:rsidRPr="00000000">
        <w:rPr>
          <w:rFonts w:ascii="Courier New" w:cs="Courier New" w:eastAsia="Courier New" w:hAnsi="Courier New"/>
          <w:i w:val="1"/>
          <w:sz w:val="26"/>
          <w:szCs w:val="26"/>
          <w:rtl w:val="0"/>
        </w:rPr>
        <w:t xml:space="preserve">com os seres vivos que possuem o mesmo passado, como irmão gêmeos idênticos, sendo possível a diferenciação destes ao decorrer de sua trajetória.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ourier New" w:cs="Courier New" w:eastAsia="Courier New" w:hAnsi="Courier New"/>
          <w:i w:val="1"/>
          <w:color w:val="3c78d8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urier New" w:cs="Courier New" w:eastAsia="Courier New" w:hAnsi="Courier New"/>
          <w:i w:val="1"/>
          <w:color w:val="3c78d8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968.503937007874" w:hanging="425.1968503937013"/>
        <w:jc w:val="both"/>
        <w:rPr>
          <w:rFonts w:ascii="Courier New" w:cs="Courier New" w:eastAsia="Courier New" w:hAnsi="Courier New"/>
          <w:i w:val="1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“Para recapitular: a individualidade do organismo é antes a de uma chama que a de uma pedra, de uma forma mais que de um bocado de substância. Essa forma pode ser transmitida ou modificada e duplicada, embora, presentemente, saibamos apenas como 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duplicá</w:t>
      </w:r>
      <w:r w:rsidDel="00000000" w:rsidR="00000000" w:rsidRPr="00000000">
        <w:rPr>
          <w:rFonts w:ascii="Courier New" w:cs="Courier New" w:eastAsia="Courier New" w:hAnsi="Courier New"/>
          <w:i w:val="1"/>
          <w:color w:val="3c78d8"/>
          <w:sz w:val="26"/>
          <w:szCs w:val="26"/>
          <w:rtl w:val="0"/>
        </w:rPr>
        <w:t xml:space="preserve">-la numa curta distância. (...) não há distinção absoluta entre os tipos de transmissão que podemos utilizar para enviar um telegrama de um país a outro e os tipos de transmissão que, pelo menos teòrica- mente, são possíveis para a transmissão de um organismo vivo, tal como o ser humano.” 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101).</w:t>
      </w:r>
    </w:p>
    <w:p w:rsidR="00000000" w:rsidDel="00000000" w:rsidP="00000000" w:rsidRDefault="00000000" w:rsidRPr="00000000" w14:paraId="00000025">
      <w:pPr>
        <w:ind w:left="360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425.1968503937008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O autor demonstra que o teletransporte não é uma ideia absurda, mas sim distante de ser realizada pela complexidade de informações do organismo para ser destruída e recriada em outro lugar do mundo (pág 101 e 102).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51c75"/>
          <w:sz w:val="26"/>
          <w:szCs w:val="26"/>
          <w:rtl w:val="0"/>
        </w:rPr>
        <w:t xml:space="preserve">➝</w:t>
      </w:r>
      <w:r w:rsidDel="00000000" w:rsidR="00000000" w:rsidRPr="00000000">
        <w:rPr>
          <w:rFonts w:ascii="Courier New" w:cs="Courier New" w:eastAsia="Courier New" w:hAnsi="Courier New"/>
          <w:color w:val="351c75"/>
          <w:sz w:val="26"/>
          <w:szCs w:val="26"/>
          <w:rtl w:val="0"/>
        </w:rPr>
        <w:t xml:space="preserve"> Seria como uma impressora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Como retomada da metáfora trazida no início: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3968.503937007874" w:hanging="425.1968503937013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“ Referi tais coisas não porque deseje escrever uma história de ficção científica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acêrca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da possibilidade de telegrafar um homem, mas porque esta pode ajudar-nos a entender que a idéia fundamental da comunicação é a transmissão de mensagens, e que a transmissão corpórea de matéria e de mensagens é apenas uma das maneiras concebíveis de atingir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êsse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fim”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103).</w:t>
      </w:r>
    </w:p>
    <w:p w:rsidR="00000000" w:rsidDel="00000000" w:rsidP="00000000" w:rsidRDefault="00000000" w:rsidRPr="00000000" w14:paraId="0000002A">
      <w:pPr>
        <w:ind w:left="360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hanging="42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51c75"/>
          <w:sz w:val="26"/>
          <w:szCs w:val="26"/>
          <w:rtl w:val="0"/>
        </w:rPr>
        <w:t xml:space="preserve">➝</w:t>
      </w:r>
      <w:r w:rsidDel="00000000" w:rsidR="00000000" w:rsidRPr="00000000">
        <w:rPr>
          <w:rFonts w:ascii="Courier New" w:cs="Courier New" w:eastAsia="Courier New" w:hAnsi="Courier New"/>
          <w:color w:val="351c75"/>
          <w:sz w:val="26"/>
          <w:szCs w:val="26"/>
          <w:rtl w:val="0"/>
        </w:rPr>
        <w:t xml:space="preserve"> Achei muito interessante as reflexões do autor, e curiosa sobre o desenvolvimento do teletransporte.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425.19685039370086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CAPÍTULO VI - Lei e Comunicação ( pág 104 a 110)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hanging="425.19685039370086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420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RESUMO: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 autor disserta sobre a lei, e como deveria ser conceituada para não ocorrer injustiças, analisando algumas situações.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968.503937007874" w:hanging="425.1968503937013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0" w:hanging="425.1968503937008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Definição da lei: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3543.3070866141725" w:hanging="360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“(...)como o controle ético aplicado à comunicação, e à linguagem enquanto forma de comunicação, especialmente quando tal aspecto normativo esteja sob mando de alguma autoridade suficientemente poderosa para dar às suas decisões o caráter de sanção social efetiva.”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3543.3070866141725" w:hanging="360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425.1968503937008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De acordo com o autor a teoria e a prática da lei encontra dois grupos de problemas, sendo um deles a concepção tida de justiça e o outro as técnicas que colocam em prática as leis. Para confirmar essa situação, relata sobre diversidade de conceitos de justiça ao decorrer da história humana. (pág 104)</w:t>
      </w:r>
    </w:p>
    <w:p w:rsidR="00000000" w:rsidDel="00000000" w:rsidP="00000000" w:rsidRDefault="00000000" w:rsidRPr="00000000" w14:paraId="00000035">
      <w:pPr>
        <w:ind w:left="0" w:hanging="425.1968503937008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425.1968503937008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As características necessárias da lei para o autor são as palavras base da Revolução Francesa “(...) Liberté, Égalité, Fraternité.” (pág 105), explicando que Liberté representa a plena liberdade de desenvovimento d todo ser humano, Égalité é a igualdade “ (...)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pela qual o que é justo para A e B continua a ser justo quando as posições de A e B se invertem (...)”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já Fraternité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“(...) uma- boa vontade, entre homem e homem, que não conheça outros limites além dos da própria Humanidade.”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Com isso nenhum pacto seria desonesto e prejudicial para um dos lados ( pág 106).</w:t>
      </w:r>
    </w:p>
    <w:p w:rsidR="00000000" w:rsidDel="00000000" w:rsidP="00000000" w:rsidRDefault="00000000" w:rsidRPr="00000000" w14:paraId="00000037">
      <w:pPr>
        <w:ind w:left="0" w:hanging="425.1968503937008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Para o autor, a lei deve ser clara e reproduzível, para não haver desfiguração de seus conceitos de acordo com a interpretação pessoal do indivíduo. Assim,por exemplo, pode se prever a sentença do juiz, além de não haver mudanças prejudiciais  com a troca, já que todos possuem o mesmo entendimento da lei, havendo assim equidade (pág 105, 106, 107) . Ele também acredita que os precedentes são essenciais:</w:t>
      </w:r>
    </w:p>
    <w:p w:rsidR="00000000" w:rsidDel="00000000" w:rsidP="00000000" w:rsidRDefault="00000000" w:rsidRPr="00000000" w14:paraId="00000038">
      <w:pPr>
        <w:ind w:left="3968.503937007874" w:hanging="425.1968503937013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968.503937007874" w:hanging="425.1968503937013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- “Eximir-se em face de uma decisão pronunciada num caso já existente é atacar a unicidade de interpretação da linguagem jurídica e, ipso jacto, ser causa de imprecisão e, muito provavelmente, de conseqüente injustiça. Cada caso julgado deve fazer progredir a definição dos termos legais envolvidos, de maneira compatível com decisões anteriores, e deve levar, naturalmente, a novas.”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(pág 106).</w:t>
      </w:r>
    </w:p>
    <w:p w:rsidR="00000000" w:rsidDel="00000000" w:rsidP="00000000" w:rsidRDefault="00000000" w:rsidRPr="00000000" w14:paraId="0000003A">
      <w:pPr>
        <w:ind w:left="3968.503937007874" w:hanging="425.1968503937013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Ele exemplifica a ausência de ambiguidade, os precedentes e a interpretação como sobressalentes em relação a “equidade teórica” no caso do Direito Civil com a Lei de Danos e no também nos contratos (pág 107). </w:t>
      </w:r>
    </w:p>
    <w:p w:rsidR="00000000" w:rsidDel="00000000" w:rsidP="00000000" w:rsidRDefault="00000000" w:rsidRPr="00000000" w14:paraId="0000003C">
      <w:pPr>
        <w:ind w:left="3968.503937007874" w:hanging="425.1968503937013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0" w:hanging="360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“Para podermos pôr em prática uma filosofia de liberdade, igualdade e fraternidade, devemos então acrescentar, à exigência de que a responsabilidade legal esteja isenta de ambigüidade, a exigência de que não seja de natureza tal a permitir que uma das partes fique sob coação enquanto a outra permanece livre.”</w:t>
      </w:r>
    </w:p>
    <w:p w:rsidR="00000000" w:rsidDel="00000000" w:rsidP="00000000" w:rsidRDefault="00000000" w:rsidRPr="00000000" w14:paraId="0000003E">
      <w:pPr>
        <w:ind w:left="3600" w:firstLine="0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Para demonstrar a situação acima, o autor traz a história da colonização americana, sua ambiguidade no entendimento do branco e do “índio” e suas consequências (pág 108).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Em relação ao Direito Criminal, ele afirma que a punição em um momento se apresenta como um exemplo para desmotivar outros indivíduos, em outro momento “ ato ritual de expiação” (pág 108) e já em outro momento afastar o perigo da sociedade. Acredita que assim não conseguiremos outra coisa além da confusão ( pág 108 e 109) 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O autor faz um breve resumo do capítulo:  </w:t>
      </w:r>
    </w:p>
    <w:p w:rsidR="00000000" w:rsidDel="00000000" w:rsidP="00000000" w:rsidRDefault="00000000" w:rsidRPr="00000000" w14:paraId="00000044">
      <w:pPr>
        <w:ind w:left="3968.503937007874" w:hanging="425.1968503937013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3968.503937007874" w:hanging="360"/>
        <w:jc w:val="both"/>
        <w:rPr>
          <w:rFonts w:ascii="Courier New" w:cs="Courier New" w:eastAsia="Courier New" w:hAnsi="Courier New"/>
          <w:color w:val="3c78d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Formulemos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assim a questão: o primeiro dever da lei, quaisquer que sejam o segundo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terceiro, é o de saber o que deseja. O primeiro de quaisquer que sejam o segundo 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e o</w:t>
      </w:r>
      <w:r w:rsidDel="00000000" w:rsidR="00000000" w:rsidRPr="00000000">
        <w:rPr>
          <w:rFonts w:ascii="Courier New" w:cs="Courier New" w:eastAsia="Courier New" w:hAnsi="Courier New"/>
          <w:color w:val="3c78d8"/>
          <w:sz w:val="26"/>
          <w:szCs w:val="26"/>
          <w:rtl w:val="0"/>
        </w:rPr>
        <w:t xml:space="preserve"> terceiro, é o de saber o que deseja. O primeiro dever do legislador ou juiz é o de fazer formulações claras, isentas de ambigüidade, que não apenas os especialistas, mas também o homem comum da época, interpretarão de uma — e de uma só — maneira. A técnica de interpretação de julgamentos passados deve ser de tal espécie que o advogado saiba não apenas o que um tribunal disse, como até mesmo, com grande probabilidade, o que o tribunal irá dizer. Dessarte, os problemas da lei podem ser considerados problemas de comunicação e cibernética — vale dizer, problemas de controle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6"/>
          <w:szCs w:val="26"/>
          <w:rtl w:val="0"/>
        </w:rPr>
        <w:t xml:space="preserve">sistemático e reiterável de certas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6"/>
          <w:szCs w:val="26"/>
          <w:rtl w:val="0"/>
        </w:rPr>
        <w:t xml:space="preserve">situações críticas.”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(pág 109).</w:t>
      </w:r>
    </w:p>
    <w:p w:rsidR="00000000" w:rsidDel="00000000" w:rsidP="00000000" w:rsidRDefault="00000000" w:rsidRPr="00000000" w14:paraId="00000046">
      <w:pPr>
        <w:ind w:left="3968.503937007874" w:hanging="425.1968503937013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 O autor termina o capítulo justificando o porque o “ruído”</w:t>
      </w:r>
      <w:r w:rsidDel="00000000" w:rsidR="00000000" w:rsidRPr="00000000">
        <w:rPr>
          <w:sz w:val="26"/>
          <w:szCs w:val="26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mensagem da lei no conflitante Sistema Legal é maléfico, já que causa impede que a justiça prevaleça. (pág 110).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Courier New" w:cs="Courier New" w:eastAsia="Courier New" w:hAnsi="Courier New"/>
          <w:i w:val="1"/>
          <w:color w:val="351c75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51c75"/>
          <w:sz w:val="26"/>
          <w:szCs w:val="26"/>
          <w:rtl w:val="0"/>
        </w:rPr>
        <w:t xml:space="preserve">➝ Gostei muito das considerações dele sobre a lei, e sobre sua necessidade de não ser ambivalente, mas não me parece muito palpável olhando a situação atual.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Courier New" w:cs="Courier New" w:eastAsia="Courier New" w:hAnsi="Courier New"/>
          <w:i w:val="1"/>
          <w:color w:val="351c7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51c7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51c75"/>
          <w:sz w:val="26"/>
          <w:szCs w:val="26"/>
          <w:rtl w:val="0"/>
        </w:rPr>
        <w:t xml:space="preserve">➝</w:t>
      </w:r>
      <w:r w:rsidDel="00000000" w:rsidR="00000000" w:rsidRPr="00000000">
        <w:rPr>
          <w:rFonts w:ascii="Courier New" w:cs="Courier New" w:eastAsia="Courier New" w:hAnsi="Courier New"/>
          <w:color w:val="351c75"/>
          <w:sz w:val="26"/>
          <w:szCs w:val="26"/>
          <w:rtl w:val="0"/>
        </w:rPr>
        <w:t xml:space="preserve">  É uma visão que traz muito em meus pensamentos o racismo da justiça atual. </w:t>
      </w:r>
      <w:r w:rsidDel="00000000" w:rsidR="00000000" w:rsidRPr="00000000">
        <w:rPr>
          <w:rFonts w:ascii="Courier New" w:cs="Courier New" w:eastAsia="Courier New" w:hAnsi="Courier New"/>
          <w:i w:val="1"/>
          <w:color w:val="351c7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1c75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275.590551181102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