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VALUES ARE POINT-IN-TIME EXAMPLES and change as data loads / the month progresses — re-run VERIFY_METRICS.sql, VERIFY_PAYROLL.sql, and VERIFY_RUNRATE.sql for current numbers. Formulas are the source of truth.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  -- MTD, with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~1,880,000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$1.88M (truncated)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Formula UNCHANGED. The figure rose from $1.29M (earlier session) to $1.88M as more June cash data loaded / all-locations scope — not a calculation change. Displayed truncated (floor), so $1.88M.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per location:  (MTD cash / working days elapsed) x total working days in month</w:t>
      </w:r>
      <w:r>
        <w:rPr>
          <w:rFonts w:ascii="Consolas" w:hAnsi="Consolas"/>
          <w:color w:val="1F3955"/>
          <w:sz w:val="19"/>
        </w:rPr>
        <w:br/>
        <w:t>chain = SUM of per-location run rates</w:t>
      </w:r>
      <w:r>
        <w:rPr>
          <w:rFonts w:ascii="Consolas" w:hAnsi="Consolas"/>
          <w:color w:val="1F3955"/>
          <w:sz w:val="19"/>
        </w:rPr>
        <w:br/>
        <w:t>working days = Operating Schedule open days; elapsed = through latest data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Per-location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MTD cash ÷ elapsed working days × total working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Working days 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data/operating_days.json (Operating Schedule)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Elapsed cutoff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data 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(example)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~$2.21M (as of 2026-06-27)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Shown on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 Sales hero, Recognized Revenue hero, Sales-to-Budget table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CHANGED. Was avg-of-data-days × calendar days. Now working-days based per location (open days from the Operating Schedule), elapsed counted through the latest data day, summed to a chain run rate (header field cash_run_rate). This single value now drives BOTH hero cards' 'Projected · Run Rate' and the Sales-to-Budget table's Projected (Run Rate) + % and the chart run-rate line, so they all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SUM(CASE WHEN status='closed' THEN sales_exc_tax END)   on the latest sale day</w:t>
      </w:r>
      <w:r>
        <w:rPr>
          <w:rFonts w:ascii="Consolas" w:hAnsi="Consolas"/>
          <w:color w:val="1F3955"/>
          <w:sz w:val="19"/>
        </w:rPr>
        <w:br/>
        <w:t xml:space="preserve">  (latest closed sale_date &lt;= end; selected locations)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NET SALES (accrual), not cash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latest closed sale_date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Jun 27 ~ $43K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CHANGED to net sales. Was cash (sales_collected on latest cash day = Jun 25 = $585K batch). Now net sales on the latest sale day (Jun 27 ~ $43K), so it reflects actual sales, not a cash-collection lump.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new members / non-member unique guests * 100        (cash basis)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new members       = COUNT(DISTINCT guest_name WHERE item_category = 'Memberships')</w:t>
      </w:r>
      <w:r>
        <w:rPr>
          <w:rFonts w:ascii="Consolas" w:hAnsi="Consolas"/>
          <w:color w:val="1F3955"/>
          <w:sz w:val="19"/>
        </w:rPr>
        <w:br/>
        <w:t>non-member guests = COUNT(DISTINCT guest_name WHERE member = 'no')</w:t>
      </w:r>
      <w:r>
        <w:rPr>
          <w:rFonts w:ascii="Consolas" w:hAnsi="Consolas"/>
          <w:color w:val="1F3955"/>
          <w:sz w:val="19"/>
        </w:rPr>
        <w:br/>
        <w:t>from BRONZE_ZENOTI_CASH_COLLECTIONS, reporting month (MTD), cash payment-type filter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new members — membership purchases this month (cash)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non-member unique guests (cash, member='no')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(computed in the main KPI query)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center_name (direct)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Bi_DimMembershipUser_s3 (memberships created/started this month), but that warehouse table is stale (no current-month rows -&gt; always 0). Now counts membership PURCHASES this month from the cash report (item_category='Memberships'), which is current and fast (computed inside the main KPI query, no extra round-trip).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guest_name) from BRONZE_ZENOTI_CASH_COLLECTIONS WHERE:</w:t>
      </w:r>
      <w:r>
        <w:rPr>
          <w:rFonts w:ascii="Consolas" w:hAnsi="Consolas"/>
          <w:color w:val="1F3955"/>
          <w:sz w:val="19"/>
        </w:rPr>
        <w:br/>
        <w:t xml:space="preserve">   the guest is new this month (first_visit = 'yes')</w:t>
      </w:r>
      <w:r>
        <w:rPr>
          <w:rFonts w:ascii="Consolas" w:hAnsi="Consolas"/>
          <w:color w:val="1F3955"/>
          <w:sz w:val="19"/>
        </w:rPr>
        <w:br/>
        <w:t xml:space="preserve">   AND item_category != 'Memberships'   (purchase is not a membership)</w:t>
      </w:r>
      <w:r>
        <w:rPr>
          <w:rFonts w:ascii="Consolas" w:hAnsi="Consolas"/>
          <w:color w:val="1F3955"/>
          <w:sz w:val="19"/>
        </w:rPr>
        <w:br/>
        <w:t xml:space="preserve">   reporting month (MTD), cash payment-type filter</w:t>
      </w:r>
      <w:r>
        <w:rPr>
          <w:rFonts w:ascii="Consolas" w:hAnsi="Consolas"/>
          <w:color w:val="1F3955"/>
          <w:sz w:val="19"/>
        </w:rPr>
        <w:br/>
        <w:t>(a guest whose only purchase is a membership is NOT counted as a new service visit)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BRONZE_ZENOTI_CASH_COLLECTIONS (main KPI query)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Identifier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distinct guest_name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 xml:space="preserve">New = 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first_visit='yes' AND a non-membership purchase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Location key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center_name (direct)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Drives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CAC denominator = MTD ad spend / new visits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SWITCHED TO CASH. Was Bi_FactCollections_s3 first-ever-sale scan, but that table is un-indexed for this pattern and took &gt;30s (timed out -&gt; 0). Now: new (first_visit='yes') guests with a non-membership purchase this month, off the already-scanned cash data — current and effectively free. Also drives CAC's denominator.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  (Same-Store Sales)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SSS YoY % = ( Σ Projected Run Rate  −  Σ Prior-Year Same-Month sales )</w:t>
      </w:r>
      <w:r>
        <w:rPr>
          <w:rFonts w:ascii="Consolas" w:hAnsi="Consolas"/>
          <w:color w:val="1F3955"/>
          <w:sz w:val="19"/>
        </w:rPr>
        <w:br/>
        <w:t xml:space="preserve">            / Σ Prior-Year Same-Month sales  × 100</w:t>
      </w:r>
      <w:r>
        <w:rPr>
          <w:rFonts w:ascii="Consolas" w:hAnsi="Consolas"/>
          <w:color w:val="1F3955"/>
          <w:sz w:val="19"/>
        </w:rPr>
        <w:br/>
        <w:t>over SAME-STORE locations only (open &gt; 12 months).</w:t>
      </w:r>
      <w:r>
        <w:rPr>
          <w:rFonts w:ascii="Consolas" w:hAnsi="Consolas"/>
          <w:color w:val="1F3955"/>
          <w:sz w:val="19"/>
        </w:rPr>
        <w:br/>
      </w:r>
      <w:r>
        <w:rPr>
          <w:rFonts w:ascii="Consolas" w:hAnsi="Consolas"/>
          <w:color w:val="1F3955"/>
          <w:sz w:val="19"/>
        </w:rPr>
        <w:br/>
        <w:t>Projected Run Rate (per loc) = (MTD cash / working days elapsed) × total working days</w:t>
      </w:r>
      <w:r>
        <w:rPr>
          <w:rFonts w:ascii="Consolas" w:hAnsi="Consolas"/>
          <w:color w:val="1F3955"/>
          <w:sz w:val="19"/>
        </w:rPr>
        <w:br/>
        <w:t>Prior-Year Same-Month (per loc) = full prior-year calendar-month cash</w:t>
      </w:r>
      <w:r>
        <w:rPr>
          <w:rFonts w:ascii="Consolas" w:hAnsi="Consolas"/>
          <w:color w:val="1F3955"/>
          <w:sz w:val="19"/>
        </w:rPr>
        <w:br/>
        <w:t>Same-store = first cash date on/before (month start − 12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projected full-month run rate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Σ prior-year same FULL month cash (same-store)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Same-store 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open &gt; 12 months (first cash ≤ month start − 12 mo)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Basis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cash; working-days run rate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REDEFINED to a proper Same-Store metric: projected full-month run rate vs prior-year full same-month, restricted to locations open &gt; 12 months (those with a comparable prior year). Both sides are full-month, so no partial-vs-full skew. New-store locations are excluded. Helper: utils/sss.py (field same_store_yoy).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Payroll Margin %  (salary model)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base salary      = SUM( role hourly wage x scheduled_hours )     -- wages JSON x schedule DB</w:t>
      </w:r>
      <w:r>
        <w:rPr>
          <w:rFonts w:ascii="Consolas" w:hAnsi="Consolas"/>
          <w:color w:val="1F3955"/>
          <w:sz w:val="19"/>
        </w:rPr>
        <w:br/>
        <w:t>ffs              = SUM( Latest FFS x qty )   -- 'Y' -&gt; COGS qty; '0' -&gt; Latest FFS once per service (qty ignored)</w:t>
      </w:r>
      <w:r>
        <w:rPr>
          <w:rFonts w:ascii="Consolas" w:hAnsi="Consolas"/>
          <w:color w:val="1F3955"/>
          <w:sz w:val="19"/>
        </w:rPr>
        <w:br/>
        <w:t>comm             = 0.15 x SUM(sales_exc_tax)</w:t>
      </w:r>
      <w:r>
        <w:rPr>
          <w:rFonts w:ascii="Consolas" w:hAnsi="Consolas"/>
          <w:color w:val="1F3955"/>
          <w:sz w:val="19"/>
        </w:rPr>
        <w:br/>
        <w:t>benefits &amp; taxes = (base + ffs + comm) x 0.125</w:t>
      </w:r>
      <w:r>
        <w:rPr>
          <w:rFonts w:ascii="Consolas" w:hAnsi="Consolas"/>
          <w:color w:val="1F3955"/>
          <w:sz w:val="19"/>
        </w:rPr>
        <w:br/>
        <w:t>salary           = base + ffs + comm + benefits</w:t>
      </w:r>
      <w:r>
        <w:rPr>
          <w:rFonts w:ascii="Consolas" w:hAnsi="Consolas"/>
          <w:color w:val="1F3955"/>
          <w:sz w:val="19"/>
        </w:rPr>
        <w:br/>
        <w:t>Payroll Margin % = salary / SUM(sales_exc_tax)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Wages / FFS rates / factors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bundled: data/payroll_schedules.json (from Excel)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scheduled_hours (BRONZE_ZENOTI_EMPLOYEE_SCHEDULES)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FFS match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service_name (BRONZE_ZENOTI_COST_OF_GOODS)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sales accrual = SUM(sales_exc_tax), NOT cash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Replaces the old modeled 24.64%. Real salary built from the supporting schedules (hourly wage x scheduled hours) + FFS (per-syringe uses COGS qty, else 1/row) + 15% commission + 12.5% benefits. Computed per location and chain. Unmatched job_name/service_name contribute $0 — verify name coverage. Was shown as '—' on the dashboard.</w:t>
      </w:r>
    </w:p>
    <w:p>
      <w:pPr>
        <w:pStyle w:val="Heading2"/>
      </w:pPr>
      <w:r>
        <w:rPr>
          <w:color w:val="1F3955"/>
        </w:rPr>
        <w:t>Gross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Gross Margin % = 100 - COGS Margin % (real) - Payroll Margin % (real salary)</w:t>
      </w:r>
    </w:p>
    <w:p>
      <w:pPr>
        <w:spacing w:after="200"/>
      </w:pPr>
      <w:r>
        <w:rPr>
          <w:b/>
          <w:color w:val="1E7A3C"/>
          <w:sz w:val="19"/>
        </w:rPr>
        <w:t>MATCHES — Both inputs are now real (COGS from cost-of-goods, payroll from the salary model). No longer uses the modeled 24.64% payroll assumption.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('no show','closed no show')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+ closed-no-show)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'no show' AND 'closed no show'. Verified Jun 2026: 33 / 6,419 = 0.51%.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invoices WHERE status IN ('cancelled','closed cancellation')</w:t>
      </w:r>
      <w:r>
        <w:rPr>
          <w:rFonts w:ascii="Consolas" w:hAnsi="Consolas"/>
          <w:color w:val="1F3955"/>
          <w:sz w:val="19"/>
        </w:rPr>
        <w:br/>
        <w:t xml:space="preserve">  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+ closed-cancellation)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6,419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19.99%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20.0%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includes 'cancelled' AND 'closed cancellation'. Verified Jun 2026: 1,283 / 6,419 = 19.99% (~20.0%).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-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Google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Facebook (Jun 2026 MTD)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$77,780.82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$111,231.35 (~$111K)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~$111K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refreshed). Sums the 'google' AND 'Fb' tabs only (Sheet1 is excluded to avoid double-counting). MTD figure is summed dynamically for the window; spend data is static. Chain-level only (campaigns aren't location-tagged).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spend, Google+FB)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111,231.35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~$184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 (Google + Facebook);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Service Mix (sub-segment 1 -&gt; sub-segment 2)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one row per (sub-segment 1, sub-segment 2); services only</w:t>
      </w:r>
      <w:r>
        <w:rPr>
          <w:rFonts w:ascii="Consolas" w:hAnsi="Consolas"/>
          <w:color w:val="1F3955"/>
          <w:sz w:val="19"/>
        </w:rPr>
        <w:br/>
        <w:t>SELECT item_category                         AS segment1,   -- sub-segment 1</w:t>
      </w:r>
      <w:r>
        <w:rPr>
          <w:rFonts w:ascii="Consolas" w:hAnsi="Consolas"/>
          <w:color w:val="1F3955"/>
          <w:sz w:val="19"/>
        </w:rPr>
        <w:br/>
        <w:t xml:space="preserve">       COALESCE(item_sub_category,'(none)')  AS segment2,   -- sub-segment 2</w:t>
      </w:r>
      <w:r>
        <w:rPr>
          <w:rFonts w:ascii="Consolas" w:hAnsi="Consolas"/>
          <w:color w:val="1F3955"/>
          <w:sz w:val="19"/>
        </w:rPr>
        <w:br/>
        <w:t xml:space="preserve">       SUM(sales_exc_tax)                    AS revenue,</w:t>
      </w:r>
      <w:r>
        <w:rPr>
          <w:rFonts w:ascii="Consolas" w:hAnsi="Consolas"/>
          <w:color w:val="1F3955"/>
          <w:sz w:val="19"/>
        </w:rPr>
        <w:br/>
        <w:t xml:space="preserve">       COUNT(*)                              AS count</w:t>
      </w:r>
      <w:r>
        <w:rPr>
          <w:rFonts w:ascii="Consolas" w:hAnsi="Consolas"/>
          <w:color w:val="1F3955"/>
          <w:sz w:val="19"/>
        </w:rPr>
        <w:br/>
        <w:t>FROM   BRONZE_ZENOTI_SALES_ACCRUAL</w:t>
      </w:r>
      <w:r>
        <w:rPr>
          <w:rFonts w:ascii="Consolas" w:hAnsi="Consolas"/>
          <w:color w:val="1F3955"/>
          <w:sz w:val="19"/>
        </w:rPr>
        <w:br/>
        <w:t>WHERE  &lt;date/location&gt; AND item_type = 'Service' AND item_category IS NOT NULL</w:t>
      </w:r>
      <w:r>
        <w:rPr>
          <w:rFonts w:ascii="Consolas" w:hAnsi="Consolas"/>
          <w:color w:val="1F3955"/>
          <w:sz w:val="19"/>
        </w:rPr>
        <w:br/>
        <w:t>GROUP BY item_category, item_sub_category</w:t>
      </w:r>
      <w:r>
        <w:rPr>
          <w:rFonts w:ascii="Consolas" w:hAnsi="Consolas"/>
          <w:color w:val="1F3955"/>
          <w:sz w:val="19"/>
        </w:rPr>
        <w:br/>
        <w:t>ORDER BY revenue DESC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1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item_category (default donut + legend)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Sub-segment 2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item_sub_category (drill-down within a segment 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'Service' AND item_category IS NOT NULL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revenue share = SUM(sales_exc_tax) per segment / total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/api/service-mix. Donut + legend show sub-segment 1 (item_category) by revenue share; clicking a segment drills into its sub-segment 2 (item_sub_category) breakdown, with a back link to all services. Services only (excludes Retail / Memberships / packages). Donut center shows the top slice at the current level.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ranked by units desc, from the cost-of-goods consumption table</w:t>
      </w:r>
      <w:r>
        <w:rPr>
          <w:rFonts w:ascii="Consolas" w:hAnsi="Consolas"/>
          <w:color w:val="1F3955"/>
          <w:sz w:val="19"/>
        </w:rPr>
        <w:br/>
        <w:t>units = SUM( CASE WHEN UPPER(product_name)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product_name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product_name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product_name IS NOT NULL (consumption rows)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BRONZE_ZENOTI_COST_OF_GOODS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Uses product_name + qty from the cost-of-goods consumption table (sales table only has item_name). Was previously one collapsed 'Retail' row. Dysport qty divided by 3 to compare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/ New Customer Visits — SWITCHED TO CASH. Both were sourced from Bi_* warehouse tables that didn't work in production: Bi_DimMembershipUser_s3 was stale (no current month -&gt; 0) and Bi_FactCollections_s3 was un-indexed for the first-ever-sale scan (&gt;30s -&gt; timed out to 0, and it dominated the KPI header latency). Both now come from BRONZE_ZENOTI_CASH_COLLECTIONS, computed inside the main KPI query: new members = distinct guests buying item_category='Memberships' this month; new visits = distinct first_visit='yes' guests with a non-membership purchase. Current, and effectively free (no extra round-trip).</w:t>
      </w:r>
    </w:p>
    <w:p>
      <w:pPr>
        <w:pStyle w:val="ListBullet"/>
      </w:pPr>
      <w:r>
        <w:rPr>
          <w:sz w:val="20"/>
        </w:rPr>
        <w:t>SSS Growth YoY % — REDEFINED (utils/sss.py): projected full-month run rate vs prior-year full same-month, same-store only (locations open &gt; 12 months). Replaces the partial-MTD comparison.</w:t>
      </w:r>
    </w:p>
    <w:p>
      <w:pPr>
        <w:pStyle w:val="ListBullet"/>
      </w:pPr>
      <w:r>
        <w:rPr>
          <w:sz w:val="20"/>
        </w:rPr>
        <w:t>Prior Day Sales — switched to NET SALES on the latest sale day (was cash on the latest cash day, which surfaced the Jun 25 $585K cash batch).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Google + Facebook tabs (Sheet1 excluded). Chain-level; ~$111K MTD, CAC ~$184.</w:t>
      </w:r>
    </w:p>
    <w:p>
      <w:pPr>
        <w:pStyle w:val="ListBullet"/>
      </w:pPr>
      <w:r>
        <w:rPr>
          <w:sz w:val="20"/>
        </w:rPr>
        <w:t>Product Mix — NEW: by product_name + unit consumption from BRONZE_ZENOTI_COST_OF_GOODS, with Dysport qty / 3. Was previously a single 'Retail' category row.</w:t>
      </w:r>
    </w:p>
    <w:p>
      <w:pPr>
        <w:pStyle w:val="ListBullet"/>
      </w:pPr>
      <w:r>
        <w:rPr>
          <w:sz w:val="20"/>
        </w:rPr>
        <w:t>Service Mix — NEW: revenue share by sub-segment 1 (item_category) with drill-down into sub-segment 2 (item_sub_category). Services only. Endpoint /api/service-mix.</w:t>
      </w:r>
    </w:p>
    <w:p>
      <w:pPr>
        <w:pStyle w:val="ListBullet"/>
      </w:pPr>
      <w:r>
        <w:rPr>
          <w:sz w:val="20"/>
        </w:rPr>
        <w:t>Payroll / Gross Margin — NEW: real salary model (utils/payroll.py) from the bundled supporting schedules (wage x scheduled hours + FFS + 15% comm + 12.5% benefits) replaces the modeled 24.64%. Gross margin now = 100 - real COGS% - real payroll%.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p>
      <w:pPr>
        <w:pStyle w:val="ListBullet"/>
      </w:pPr>
      <w:r>
        <w:rPr>
          <w:sz w:val="20"/>
        </w:rPr>
        <w:t>KPI header performance — the /api/mtd-kpi-header handler ran ~10 queries sequentially (~27s), tripping the gateway timeout (502s) and leaving the Overview hanging. Fixes: (1) enrichment helpers now run in parallel (ThreadPoolExecutor); (2) the connection pool was serializing that parallelism — get_sql_connection ran its SELECT-1 health check while holding the global lock, so one dead pooled connection blocked every checkout for the full timeout, and run_query returned timed-out (dead) connections to the pool; both fixed (validate lock-free, close dead connections); (3) the two slow Bi_* metrics were moved onto the main cash query (see above). Header is now ~3-5s and the concurrent Overview load (header + operations-summary) no longer 500s.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