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Verified against the live MTD window (latest cash-data month).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$1.29M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$1,297,752.54 truncates to $1.29M.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distinct_payment_days * days_in_month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(payment days)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$1,621,565.67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$1.30M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Verification projects on payment-days; dashboard uses the daily-trend run rate. Different projection basis — review if the run-rate tile should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on most recent payment 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guests who bought a 'Memberships' item)</w:t>
      </w:r>
      <w:r>
        <w:rPr>
          <w:rFonts w:ascii="Consolas" w:hAnsi="Consolas"/>
          <w:color w:val="1F3955"/>
          <w:sz w:val="19"/>
        </w:rPr>
        <w:br/>
        <w:t xml:space="preserve">   / COUNT(DISTINCT non-member guests)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(membership buyers)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(true)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 (display). The dashboard's pctScale() helper used to multiply any value &lt;= 1 by 100 (assuming small numbers were fractions), turning 0.18% into 18.3%. pctScale is now a pass-through, so it renders 0.18% correctly. Note: the numerator (4) is a cash-derived proxy and may still undercount memberships created — separate data item.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'yes')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(current_cash - prior_year_cash) / prior_year_cash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(current cash)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(prior-year, capped to latest data day)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1,277,268.57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Root cause confirmed: the prior-year window ran to MONTH-END ($1,421,516.91 = full June 2025) while the current month is partial (through ~the 26th, $1,297,752.54), giving a false -8.7%. py_end now anchors to the latest current-data day, so both sides cover equal days (Jun 1-26). Like-for-like YoY is +1.6%.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no-show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cancelled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21.53%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+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+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(sum of daily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$33,450.53 (~$33K)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~$33K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the export is refreshed). The MTD figure is summed dynamically for the date window, but the spend data is static. Chain-level only (campaigns aren't location-tagged); FB sheet empty.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$55.29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FIXED in evolve-dashboard.jsx: pctScale() is now a pass-through, so 0.18% no longer renders as 18.3%. (Numerator may still undercount memberships — separate item.)</w:t>
      </w:r>
    </w:p>
    <w:p>
      <w:pPr>
        <w:pStyle w:val="ListBullet"/>
      </w:pPr>
      <w:r>
        <w:rPr>
          <w:sz w:val="20"/>
        </w:rPr>
        <w:t>SSS Growth YoY % — FIXED in routers/mtd.py: py_end anchors to the latest current-data day, not month-end, so partial current is compared to an equal prior-year window. Goes from -8.7% to +1.6%.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Chain-level; ~$33K MTD, CAC ~$55.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