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memberships / non-member unique guests * 100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memberships = COUNT(DISTINCT UserMembershipId) from Bi_DimMembershipUser_s3</w:t>
      </w:r>
      <w:r>
        <w:rPr>
          <w:rFonts w:ascii="Consolas" w:hAnsi="Consolas"/>
          <w:color w:val="1F3955"/>
          <w:sz w:val="19"/>
        </w:rPr>
        <w:br/>
        <w:t xml:space="preserve">                  WHERE IsDeleted = 0</w:t>
      </w:r>
      <w:r>
        <w:rPr>
          <w:rFonts w:ascii="Consolas" w:hAnsi="Consolas"/>
          <w:color w:val="1F3955"/>
          <w:sz w:val="19"/>
        </w:rPr>
        <w:br/>
        <w:t xml:space="preserve">                    AND CreationDate in the reporting month (MTD)</w:t>
      </w:r>
      <w:r>
        <w:rPr>
          <w:rFonts w:ascii="Consolas" w:hAnsi="Consolas"/>
          <w:color w:val="1F3955"/>
          <w:sz w:val="19"/>
        </w:rPr>
        <w:br/>
        <w:t xml:space="preserve">                    AND StartDate in the same month   (created &amp; started this month)</w:t>
      </w:r>
      <w:r>
        <w:rPr>
          <w:rFonts w:ascii="Consolas" w:hAnsi="Consolas"/>
          <w:color w:val="1F3955"/>
          <w:sz w:val="19"/>
        </w:rPr>
        <w:br/>
        <w:t>non-member guests = COUNT(DISTINCT guest_name WHERE member='no') from the cash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memberships (Bi_DimMembershipUser_s3)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non-member unique guests (cash)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Location key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membership CenterId (mapped from center_name)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Note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 until the membership table is loaded for the current month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now from Bi_DimMembershipUser_s3 (memberships created this month AND starting this month, IsDeleted=0, counted per UserMembershipId) — replaces the old cash-line proxy. pctScale display also fixed. Reads 0 if Bi_DimMembershipUser_s3 has no current-month rows (data-freshness gap), like COGS before its data loaded.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UserId) from Bi_FactCollections_s3 WHERE:</w:t>
      </w:r>
      <w:r>
        <w:rPr>
          <w:rFonts w:ascii="Consolas" w:hAnsi="Consolas"/>
          <w:color w:val="1F3955"/>
          <w:sz w:val="19"/>
        </w:rPr>
        <w:br/>
        <w:t xml:space="preserve">   first sale date (MIN SaleDateInCenter per UserId) is in the reporting month</w:t>
      </w:r>
      <w:r>
        <w:rPr>
          <w:rFonts w:ascii="Consolas" w:hAnsi="Consolas"/>
          <w:color w:val="1F3955"/>
          <w:sz w:val="19"/>
        </w:rPr>
        <w:br/>
        <w:t xml:space="preserve">   AND that first purchase is non-membership (MembershipVersionId = 'Not Applicable')</w:t>
      </w:r>
      <w:r>
        <w:rPr>
          <w:rFonts w:ascii="Consolas" w:hAnsi="Consolas"/>
          <w:color w:val="1F3955"/>
          <w:sz w:val="19"/>
        </w:rPr>
        <w:br/>
        <w:t xml:space="preserve">   AND IsDeleted = 0, not Void, Amount &gt; 0</w:t>
      </w:r>
      <w:r>
        <w:rPr>
          <w:rFonts w:ascii="Consolas" w:hAnsi="Consolas"/>
          <w:color w:val="1F3955"/>
          <w:sz w:val="19"/>
        </w:rPr>
        <w:br/>
        <w:t>(if the first purchase is a membership, the guest is NOT counted)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Bi_FactCollections_s3 (transaction-grain collections)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Identifier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UserId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New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first sale date this month, MembershipVersionId='Not Applicable'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Location key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CenterId (mapped from center_name)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Expected output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count of distinct new guests this month (run query to confirm)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REDEFINED. Was distinct cash guest_name with first_visit='yes'. Now: first-ever sale date (Bi_FactCollections_s3) in the month, first purchase non-membership (MembershipVersionId = 'Not Applicable'), excluding deleted/void/$0. Also drives CAC's denominator. Existing Customer Visits is unchanged.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Projected Run Rate  −  Σ Prior-Year Same-Month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Same-Month sales  × 100</w:t>
      </w:r>
      <w:r>
        <w:rPr>
          <w:rFonts w:ascii="Consolas" w:hAnsi="Consolas"/>
          <w:color w:val="1F3955"/>
          <w:sz w:val="19"/>
        </w:rPr>
        <w:br/>
        <w:t>over SAME-STORE locations only (open &gt; 12 months).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Projected Run Rate (per loc) = (MTD cash / working days elapsed) × total working days</w:t>
      </w:r>
      <w:r>
        <w:rPr>
          <w:rFonts w:ascii="Consolas" w:hAnsi="Consolas"/>
          <w:color w:val="1F3955"/>
          <w:sz w:val="19"/>
        </w:rPr>
        <w:br/>
        <w:t>Prior-Year Same-Month (per loc) = full prior-year calendar-month cash</w:t>
      </w:r>
      <w:r>
        <w:rPr>
          <w:rFonts w:ascii="Consolas" w:hAnsi="Consolas"/>
          <w:color w:val="1F3955"/>
          <w:sz w:val="19"/>
        </w:rPr>
        <w:br/>
        <w:t>Same-store = first cash date on/before (month start − 12 months)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projected full-month run rate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 FULL month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open &gt; 12 months (first cash ≤ month start − 12 mo)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working-days run rate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to a proper Same-Store metric: projected full-month run rate vs prior-year full same-month, restricted to locations open &gt; 12 months (those with a comparable prior year). Both sides are full-month, so no partial-vs-full skew. New-store locations are excluded. Helper: utils/sss.py (field same_store_yoy).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SUM(sales_exc_tax)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Replaces the old modeled 24.64%. Real salary built from the supporting schedules (hourly wage x scheduled hours) + FFS (per-syringe uses COGS qty, else 1/row) + 15% commission + 12.5% benefits. Computed per location and chain. Unmatched job_name/service_name contribute $0 — verify name coverage. Was shown as '—' on the dashboard.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invoices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(no-show + closed-no-show)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6,419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0.51%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includes 'no show' AND 'closed no show'. Verified Jun 2026: 33 / 6,419 = 0.51%.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invoices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(cancelled + closed-cancellation)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6,419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19.99%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20.0%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includes 'cancelled' AND 'closed cancellation'. Verified Jun 2026: 1,283 / 6,419 = 19.99% (~20.0%).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numerator now from Bi_DimMembershipUser_s3 (memberships created + started this month, IsDeleted=0) / non-member cash guests; pctScale display also fixed. Reads 0 until that table is loaded for the current month.</w:t>
      </w:r>
    </w:p>
    <w:p>
      <w:pPr>
        <w:pStyle w:val="ListBullet"/>
      </w:pPr>
      <w:r>
        <w:rPr>
          <w:sz w:val="20"/>
        </w:rPr>
        <w:t>SSS Growth YoY % — REDEFINED (utils/sss.py): projected full-month run rate vs prior-year full same-month, same-store only (locations open &gt; 12 months). Replaces the partial-MTD comparison.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NEW: real salary model (utils/payroll.py) from the bundled supporting schedules (wage x scheduled hours + FFS + 15% comm + 12.5% benefits) replaces the modeled 24.64%. Gross margin now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p>
      <w:pPr>
        <w:pStyle w:val="ListBullet"/>
      </w:pPr>
      <w:r>
        <w:rPr>
          <w:sz w:val="20"/>
        </w:rPr>
        <w:t>KPI header performance — the /api/mtd-kpi-header handler ran its ~10 queries (main KPI query + COGS + payroll + memberships + 2 run-rates + SSS + new-visits) sequentially, ~27s total, which tripped the gateway timeout (502s) and left the Overview hanging. Two full-table scans (new_customer_visits over Bi_FactCollections_s3, sss_growth_yoy's MIN(payment_date) over the cash table) were date-bounded, and all enrichment helpers now run in parallel (ThreadPoolExecutor); wall time is now the single slowest query (~3-5s). Each helper also degrades to a safe default on error so no single one can 500 the whole header.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