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Verified against the live MTD window (latest cash-data month).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$1.29M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$1,297,752.54 truncates to $1.29M.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distinct_payment_days * days_in_month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(payment days)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$1,621,565.67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$1.30M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Verification projects on payment-days; dashboard uses the daily-trend run rate. Different projection basis — review if the run-rate tile should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