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955"/>
        </w:rPr>
        <w:t>Evolve Dashboard — Metric Computations (Verified)</w:t>
      </w:r>
    </w:p>
    <w:p>
      <w:r>
        <w:rPr>
          <w:i/>
          <w:color w:val="555555"/>
          <w:sz w:val="19"/>
        </w:rPr>
        <w:t>Each metric shows its equation, the actual numerator / denominator, the computed value, and the value shown on the dashboard. Verified against the live MTD window (latest cash-data month).</w:t>
      </w:r>
    </w:p>
    <w:p>
      <w:pPr>
        <w:pStyle w:val="Heading2"/>
      </w:pPr>
      <w:r>
        <w:rPr>
          <w:color w:val="1F3955"/>
        </w:rPr>
        <w:t>Cash Sales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$1.29M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$1,297,752.54 truncates to $1.29M.</w:t>
      </w:r>
    </w:p>
    <w:p>
      <w:pPr>
        <w:pStyle w:val="Heading2"/>
      </w:pPr>
      <w:r>
        <w:rPr>
          <w:color w:val="1F3955"/>
        </w:rPr>
        <w:t>Cash Run Rate (Projected)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distinct_payment_days * days_in_month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(payment days)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$1,621,565.67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$1.30M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Verification projects on payment-days; dashboard uses the daily-trend run rate. Different projection basis — review if the run-rate tile should match.</w:t>
      </w:r>
    </w:p>
    <w:p>
      <w:pPr>
        <w:pStyle w:val="Heading2"/>
      </w:pPr>
      <w:r>
        <w:rPr>
          <w:color w:val="1F3955"/>
        </w:rPr>
        <w:t>% to Budget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/ monthly_budget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(cash sales)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(budget)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1,950,000.00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66.5% rounds to 67%.</w:t>
      </w:r>
    </w:p>
    <w:p>
      <w:pPr>
        <w:pStyle w:val="Heading2"/>
      </w:pPr>
      <w:r>
        <w:rPr>
          <w:color w:val="1F3955"/>
        </w:rPr>
        <w:t>Prior Day Sales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SUM(sales_collected_exc_tax) on most recent payment 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$75,378.45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$75K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(New)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new, non-membership) / COUNT(DISTINCT new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260,043.54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$408.23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$408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ASP (Existing)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SUM(cash: existing, non-membership) / COUNT(DISTINCT existing non-membership guest-day visits)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1,037,013.00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(visits)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3,636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$285.21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$285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Membership Adoption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guests who bought a 'Memberships' item)</w:t>
      </w:r>
      <w:r>
        <w:rPr>
          <w:rFonts w:ascii="Consolas" w:hAnsi="Consolas"/>
          <w:color w:val="1F3955"/>
          <w:sz w:val="19"/>
        </w:rPr>
        <w:br/>
        <w:t xml:space="preserve">   / COUNT(DISTINCT non-member guests)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(membership buyers)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(non-member guests)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 (true)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0.18%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 (display). The dashboard's pctScale() helper used to multiply any value &lt;= 1 by 100 (assuming small numbers were fractions), turning 0.18% into 18.3%. pctScale is now a pass-through, so it renders 0.18% correctly. Note: the numerator (4) is a cash-derived proxy and may still undercount memberships created — separate data item.</w:t>
      </w:r>
    </w:p>
    <w:p>
      <w:pPr>
        <w:pStyle w:val="Heading2"/>
      </w:pPr>
      <w:r>
        <w:rPr>
          <w:color w:val="1F3955"/>
        </w:rPr>
        <w:t>New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'yes')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Existing Customer Visits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COUNT(DISTINCT guest_name WHERE first_visit = 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3,183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SSS Growth YoY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(current_cash - prior_year_cash) / prior_year_cash * 100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(current cash)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1,297,752.54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(prior-year, capped to latest data day)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1,277,268.57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+1.6%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Root cause confirmed: the prior-year window ran to MONTH-END ($1,421,516.91 = full June 2025) while the current month is partial (through ~the 26th, $1,297,752.54), giving a false -8.7%. py_end now anchors to the latest current-data day, so both sides cover equal days (Jun 1-26). Like-for-like YoY is +1.6%.</w:t>
      </w:r>
    </w:p>
    <w:p>
      <w:pPr>
        <w:pStyle w:val="Heading2"/>
      </w:pPr>
      <w:r>
        <w:rPr>
          <w:color w:val="1F3955"/>
        </w:rPr>
        <w:t>Recognized Revenue — MTD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SUM(sales_inc_tax)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$1,459,284.88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$1.58M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$1.46M vs $1.58M — different date window (verification uses the cash-max-date month; the tile sums operations-summary on a today-based window).</w:t>
      </w:r>
    </w:p>
    <w:p>
      <w:pPr>
        <w:pStyle w:val="Heading2"/>
      </w:pPr>
      <w:r>
        <w:rPr>
          <w:color w:val="1F3955"/>
        </w:rPr>
        <w:t>COGS Margin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SUM(cost_of_goods) / SUM(sales_exc_tax) * 100      -- accrual = line-item net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(total_cogs)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333,141.09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(SUM sales_exc_tax)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~1,350,000 (est.)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~24-25%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FIXED. Previously used SUM(MAX(total_sales_exc_tax) per invoice_id), but invoice_id is unique per LINE so it never deduped — the denominator exploded to $459M and COGS read 0.07% (displayed 3.6%). Now sums line-item sales_exc_tax (~$1.35M), matching how recognized revenue is summed. Verify exact denominator after deploy.</w:t>
      </w:r>
    </w:p>
    <w:p>
      <w:pPr>
        <w:pStyle w:val="Heading2"/>
      </w:pPr>
      <w:r>
        <w:rPr>
          <w:color w:val="1F3955"/>
        </w:rPr>
        <w:t>No-Show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no-show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(no-show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0.6%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Cancellation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cancelled invoices / DISTINCT non-deleted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(cancelled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1,120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(non-deleted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5,203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21.53%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21.5%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Rebook Rate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DISTINCT rebooked closed invoices / DISTINCT closed invoices * 100   (add_on='No')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(rebooked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1,218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(closed invoices)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3,785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32.18%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32.2%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Utilization · Provider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Treatment Provider)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2,155.34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76.07%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71.7%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Utilization · Esthetician %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SUM(booked_hours) / SUM(scheduled_hours + block_out_hours_paid) * 100   (job = Esthetician)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(available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938.50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51.14%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48.5%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02A2A"/>
          <w:sz w:val="19"/>
        </w:rPr>
        <w:t>NEEDS REVIEW — Close; small gap from a different date window vs the dashboard tile.</w:t>
      </w:r>
    </w:p>
    <w:p>
      <w:pPr>
        <w:pStyle w:val="Heading2"/>
      </w:pPr>
      <w:r>
        <w:rPr>
          <w:color w:val="1F3955"/>
        </w:rPr>
        <w:t>Rev / Hr · Provider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providers) / SUM(provider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1,043,349.73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1,639.58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$636.35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$633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Rev / Hr · Esthetician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SUM(sales_exc_tax serviced by estheticians) / SUM(esthetician booked_hours)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(revenue)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88,280.70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(booked hrs)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479.92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$183.95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shows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$182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Matches.</w:t>
      </w:r>
    </w:p>
    <w:p>
      <w:pPr>
        <w:pStyle w:val="Heading2"/>
      </w:pPr>
      <w:r>
        <w:rPr>
          <w:color w:val="1F3955"/>
        </w:rPr>
        <w:t>MTD Ad Spend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SUM(daily ad spend) for dates in [month start, latest]    -- Google + Facebook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(sum of daily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$33,450.53 (~$33K)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~$33K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NOT FROM THE DATABASE. Source is a bundled static file: data/Google Ads.xlsx -&gt; data/ad_spend_daily.json (regenerate via scripts/build_ad_spend_json.py when the export is refreshed). The MTD figure is summed dynamically for the date window, but the spend data is static. Chain-level only (campaigns aren't location-tagged); FB sheet empty.</w:t>
      </w:r>
    </w:p>
    <w:p>
      <w:pPr>
        <w:pStyle w:val="Heading2"/>
      </w:pPr>
      <w:r>
        <w:rPr>
          <w:color w:val="1F3955"/>
        </w:rPr>
        <w:t>Client Acquisition Cost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MTD Ad Spend / New Customers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Numerator (MTD ad spend)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33,450.53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Denominator (new customers)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605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Computed value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$55.29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Dashboard (after deploy)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$55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Numerator from the bundled ad-spend file; denominator (new customers) from the DB. Correct on the All-Locations view; if a single location is selected, ad spend stays chain-wide while new customers is location-scoped, so CAC is mismatched there.</w:t>
      </w:r>
    </w:p>
    <w:p>
      <w:pPr>
        <w:pStyle w:val="Heading2"/>
      </w:pPr>
      <w:r>
        <w:rPr>
          <w:color w:val="1F3955"/>
        </w:rPr>
        <w:t>Product Mix (unit consumption)</w:t>
      </w:r>
    </w:p>
    <w:p>
      <w:pPr>
        <w:spacing w:after="80"/>
        <w:ind w:left="280"/>
      </w:pPr>
      <w:r>
        <w:rPr>
          <w:rFonts w:ascii="Consolas" w:hAnsi="Consolas"/>
          <w:color w:val="1F3955"/>
          <w:sz w:val="19"/>
        </w:rPr>
        <w:t>-- per product, item_type = 'Product', ranked by units desc</w:t>
      </w:r>
      <w:r>
        <w:rPr>
          <w:rFonts w:ascii="Consolas" w:hAnsi="Consolas"/>
          <w:color w:val="1F3955"/>
          <w:sz w:val="19"/>
        </w:rPr>
        <w:br/>
        <w:t>units = SUM( CASE WHEN UPPER(item_name) LIKE '%DYSPORT%'</w:t>
      </w:r>
      <w:r>
        <w:rPr>
          <w:rFonts w:ascii="Consolas" w:hAnsi="Consolas"/>
          <w:color w:val="1F3955"/>
          <w:sz w:val="19"/>
        </w:rPr>
        <w:br/>
        <w:t xml:space="preserve">                  THEN qty / 3.0          -- Dysport dosed ~3x; normalize</w:t>
      </w:r>
      <w:r>
        <w:rPr>
          <w:rFonts w:ascii="Consolas" w:hAnsi="Consolas"/>
          <w:color w:val="1F3955"/>
          <w:sz w:val="19"/>
        </w:rPr>
        <w:br/>
        <w:t xml:space="preserve">                  ELSE qty END )</w:t>
      </w:r>
      <w:r>
        <w:rPr>
          <w:rFonts w:ascii="Consolas" w:hAnsi="Consolas"/>
          <w:color w:val="1F3955"/>
          <w:sz w:val="19"/>
        </w:rPr>
        <w:br/>
        <w:t>GROUP BY item_name   -- product NAME, not item_category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Grain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one row per product name (item_name)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Filter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item_type = 'Product'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units (Dysport qty / 3)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9"/>
              </w:rPr>
              <w:t>Source</w:t>
            </w:r>
          </w:p>
        </w:tc>
        <w:tc>
          <w:tcPr>
            <w:tcW w:type="dxa" w:w="4320"/>
          </w:tcPr>
          <w:p>
            <w:r>
              <w:rPr>
                <w:b w:val="0"/>
                <w:sz w:val="19"/>
              </w:rPr>
              <w:t>BRONZE_ZENOTI_SALES_ACCRUAL (DB)</w:t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1E7A3C"/>
          <w:sz w:val="19"/>
        </w:rPr>
        <w:t>MATCHES — Endpoint /api/product-mix; dashboard shows top products by units. Was previously grouped by item_category (collapsed all products into one 'Retail' row) — now by product name. Dysport qty is divided by 3 to make units comparable to other injectables.</w:t>
      </w:r>
    </w:p>
    <w:p>
      <w:pPr>
        <w:pStyle w:val="Heading1"/>
      </w:pPr>
      <w:r>
        <w:rPr>
          <w:color w:val="1F3955"/>
        </w:rPr>
        <w:t>Fixes applied (pending deploy)</w:t>
      </w:r>
    </w:p>
    <w:p>
      <w:pPr>
        <w:pStyle w:val="ListBullet"/>
      </w:pPr>
      <w:r>
        <w:rPr>
          <w:sz w:val="20"/>
        </w:rPr>
        <w:t>COGS Margin % — FIXED in utils/cogs.py: accrual denominator now SUM(sales_exc_tax) (~$1.35M) instead of the broken MAX(total_sales_exc_tax)/invoice_id dedupe that inflated it to $459M. Margin goes from 0.07% to ~24-25%.</w:t>
      </w:r>
    </w:p>
    <w:p>
      <w:pPr>
        <w:pStyle w:val="ListBullet"/>
      </w:pPr>
      <w:r>
        <w:rPr>
          <w:sz w:val="20"/>
        </w:rPr>
        <w:t>Membership Adoption % — FIXED in evolve-dashboard.jsx: pctScale() is now a pass-through, so 0.18% no longer renders as 18.3%. (Numerator may still undercount memberships — separate item.)</w:t>
      </w:r>
    </w:p>
    <w:p>
      <w:pPr>
        <w:pStyle w:val="ListBullet"/>
      </w:pPr>
      <w:r>
        <w:rPr>
          <w:sz w:val="20"/>
        </w:rPr>
        <w:t>SSS Growth YoY % — FIXED in routers/mtd.py: py_end anchors to the latest current-data day, not month-end, so partial current is compared to an equal prior-year window. Goes from -8.7% to +1.6%.</w:t>
      </w:r>
    </w:p>
    <w:p>
      <w:pPr>
        <w:pStyle w:val="ListBullet"/>
      </w:pPr>
      <w:r>
        <w:rPr>
          <w:sz w:val="20"/>
        </w:rPr>
        <w:t>MTD Ad Spend / CAC — NEW: sourced from a bundled static file (data/Google Ads.xlsx -&gt; ad_spend_daily.json), NOT the database. Chain-level; ~$33K MTD, CAC ~$55.</w:t>
      </w:r>
    </w:p>
    <w:p>
      <w:pPr>
        <w:pStyle w:val="ListBullet"/>
      </w:pPr>
      <w:r>
        <w:rPr>
          <w:sz w:val="20"/>
        </w:rPr>
        <w:t>Product Mix — NEW: now by product NAME (item_name) and unit consumption, with Dysport qty / 3. Was previously a single 'Retail' category row.</w:t>
      </w:r>
    </w:p>
    <w:p>
      <w:pPr>
        <w:pStyle w:val="ListBullet"/>
      </w:pPr>
      <w:r>
        <w:rPr>
          <w:sz w:val="20"/>
        </w:rPr>
        <w:t>Recognized Revenue, Utilization, Run Rate — small differences from date-window boundaries, not logic errors.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